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59D9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rPr>
          <w:rFonts w:hint="eastAsia" w:ascii="黑体" w:hAnsi="黑体" w:eastAsia="黑体" w:cs="黑体"/>
          <w:b/>
          <w:bCs/>
          <w:i w:val="0"/>
          <w:iCs w:val="0"/>
          <w:caps w:val="0"/>
          <w:spacing w:val="0"/>
          <w:kern w:val="0"/>
          <w:sz w:val="32"/>
          <w:szCs w:val="32"/>
          <w:shd w:val="clear" w:fill="FFFFFF"/>
          <w:lang w:val="en-US" w:eastAsia="zh-CN" w:bidi="ar"/>
        </w:rPr>
      </w:pPr>
      <w:r>
        <w:rPr>
          <w:rFonts w:hint="eastAsia" w:ascii="黑体" w:hAnsi="黑体" w:eastAsia="黑体" w:cs="黑体"/>
          <w:b/>
          <w:bCs/>
          <w:i w:val="0"/>
          <w:iCs w:val="0"/>
          <w:caps w:val="0"/>
          <w:spacing w:val="0"/>
          <w:kern w:val="0"/>
          <w:sz w:val="32"/>
          <w:szCs w:val="32"/>
          <w:shd w:val="clear" w:fill="FFFFFF"/>
          <w:lang w:val="en-US" w:eastAsia="zh-CN" w:bidi="ar"/>
        </w:rPr>
        <w:t>紧急项目采购公告</w:t>
      </w:r>
    </w:p>
    <w:p w14:paraId="0A00407B">
      <w:pPr>
        <w:pStyle w:val="2"/>
        <w:rPr>
          <w:rFonts w:hint="eastAsia" w:ascii="黑体" w:hAnsi="黑体" w:eastAsia="黑体" w:cs="黑体"/>
          <w:b/>
          <w:bCs/>
          <w:i w:val="0"/>
          <w:iCs w:val="0"/>
          <w:caps w:val="0"/>
          <w:spacing w:val="0"/>
          <w:kern w:val="0"/>
          <w:sz w:val="32"/>
          <w:szCs w:val="32"/>
          <w:shd w:val="clear" w:fill="FFFFFF"/>
          <w:lang w:val="en-US" w:eastAsia="zh-CN" w:bidi="ar"/>
        </w:rPr>
      </w:pPr>
    </w:p>
    <w:p w14:paraId="058723DB">
      <w:pPr>
        <w:pStyle w:val="2"/>
        <w:rPr>
          <w:rFonts w:hint="eastAsia" w:ascii="黑体" w:hAnsi="黑体" w:eastAsia="黑体" w:cs="黑体"/>
          <w:b/>
          <w:bCs/>
          <w:i w:val="0"/>
          <w:iCs w:val="0"/>
          <w:caps w:val="0"/>
          <w:spacing w:val="0"/>
          <w:kern w:val="0"/>
          <w:sz w:val="32"/>
          <w:szCs w:val="32"/>
          <w:shd w:val="clear" w:fill="FFFFFF"/>
          <w:lang w:val="en-US" w:eastAsia="zh-CN" w:bidi="ar"/>
        </w:rPr>
      </w:pPr>
    </w:p>
    <w:p w14:paraId="2457D5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各潜在供应商：</w:t>
      </w:r>
    </w:p>
    <w:p w14:paraId="6DF00A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2"/>
          <w:sz w:val="24"/>
          <w:szCs w:val="24"/>
          <w:highlight w:val="none"/>
          <w:lang w:val="en-US" w:eastAsia="zh-CN" w:bidi="ar-SA"/>
        </w:rPr>
        <w:t>天府院区门诊楼前广场金属探测门及X光机遮雨设施设计、施工总承包服务项目紧急</w:t>
      </w:r>
      <w:r>
        <w:rPr>
          <w:rFonts w:hint="eastAsia" w:ascii="宋体" w:hAnsi="宋体" w:eastAsia="宋体" w:cs="宋体"/>
          <w:b w:val="0"/>
          <w:bCs w:val="0"/>
          <w:i w:val="0"/>
          <w:iCs w:val="0"/>
          <w:caps w:val="0"/>
          <w:spacing w:val="0"/>
          <w:kern w:val="0"/>
          <w:sz w:val="24"/>
          <w:szCs w:val="24"/>
          <w:shd w:val="clear" w:fill="FFFFFF"/>
          <w:lang w:val="en-US" w:eastAsia="zh-CN" w:bidi="ar"/>
        </w:rPr>
        <w:t>采购，具体事项如下：</w:t>
      </w:r>
    </w:p>
    <w:p w14:paraId="32CB196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一、项目名称：</w:t>
      </w:r>
      <w:r>
        <w:rPr>
          <w:rFonts w:hint="eastAsia" w:ascii="宋体" w:hAnsi="宋体" w:eastAsia="宋体" w:cs="宋体"/>
          <w:b w:val="0"/>
          <w:bCs w:val="0"/>
          <w:color w:val="auto"/>
          <w:kern w:val="2"/>
          <w:sz w:val="24"/>
          <w:szCs w:val="24"/>
          <w:highlight w:val="none"/>
          <w:lang w:val="en-US" w:eastAsia="zh-CN" w:bidi="ar-SA"/>
        </w:rPr>
        <w:t>天府院区门诊楼前广场金属探测门及X光机遮雨设施设计、施工总承包服务项目</w:t>
      </w:r>
      <w:r>
        <w:rPr>
          <w:rFonts w:hint="eastAsia" w:ascii="宋体" w:hAnsi="宋体" w:eastAsia="宋体" w:cs="宋体"/>
          <w:b w:val="0"/>
          <w:bCs w:val="0"/>
          <w:i w:val="0"/>
          <w:iCs w:val="0"/>
          <w:caps w:val="0"/>
          <w:spacing w:val="0"/>
          <w:kern w:val="0"/>
          <w:sz w:val="24"/>
          <w:szCs w:val="24"/>
          <w:shd w:val="clear" w:fill="FFFFFF"/>
          <w:lang w:val="en-US" w:eastAsia="zh-CN" w:bidi="ar"/>
        </w:rPr>
        <w:t>。</w:t>
      </w:r>
    </w:p>
    <w:p w14:paraId="6B40DC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480" w:right="0"/>
        <w:jc w:val="left"/>
        <w:textAlignment w:val="auto"/>
        <w:rPr>
          <w:rFonts w:hint="default" w:ascii="宋体" w:hAnsi="宋体" w:eastAsia="宋体" w:cs="宋体"/>
          <w:b w:val="0"/>
          <w:bCs w:val="0"/>
          <w:sz w:val="24"/>
          <w:szCs w:val="24"/>
          <w:lang w:val="en-US"/>
        </w:rPr>
      </w:pPr>
      <w:r>
        <w:rPr>
          <w:rFonts w:hint="eastAsia" w:ascii="宋体" w:hAnsi="宋体" w:eastAsia="宋体" w:cs="宋体"/>
          <w:b w:val="0"/>
          <w:bCs w:val="0"/>
          <w:i w:val="0"/>
          <w:iCs w:val="0"/>
          <w:caps w:val="0"/>
          <w:spacing w:val="0"/>
          <w:kern w:val="0"/>
          <w:sz w:val="24"/>
          <w:szCs w:val="24"/>
          <w:shd w:val="clear" w:fill="FFFFFF"/>
          <w:lang w:val="en-US" w:eastAsia="zh-CN" w:bidi="ar"/>
        </w:rPr>
        <w:t>二、投标单位资质要求及技术参数需求</w:t>
      </w:r>
    </w:p>
    <w:p w14:paraId="4B2143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bCs/>
          <w:sz w:val="24"/>
          <w:szCs w:val="24"/>
        </w:rPr>
      </w:pPr>
      <w:r>
        <w:rPr>
          <w:rFonts w:hint="eastAsia" w:ascii="宋体" w:hAnsi="宋体" w:eastAsia="宋体" w:cs="宋体"/>
          <w:b/>
          <w:bCs/>
          <w:i w:val="0"/>
          <w:iCs w:val="0"/>
          <w:caps w:val="0"/>
          <w:spacing w:val="0"/>
          <w:kern w:val="0"/>
          <w:sz w:val="24"/>
          <w:szCs w:val="24"/>
          <w:shd w:val="clear" w:fill="FFFFFF"/>
          <w:lang w:val="en-US" w:eastAsia="zh-CN" w:bidi="ar"/>
        </w:rPr>
        <w:t>详见附件。</w:t>
      </w:r>
    </w:p>
    <w:p w14:paraId="0DEDB3A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三、投标文件的递交</w:t>
      </w:r>
      <w:bookmarkStart w:id="0" w:name="_GoBack"/>
      <w:bookmarkEnd w:id="0"/>
    </w:p>
    <w:p w14:paraId="7DB9F94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1.投标文件必须包含：报价表、资质文件以及采购需求要求的相关资料。</w:t>
      </w:r>
    </w:p>
    <w:p w14:paraId="336F3A7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2.投标文件要求：报价表、资质文件以及</w:t>
      </w:r>
      <w:r>
        <w:rPr>
          <w:rFonts w:hint="eastAsia" w:ascii="宋体" w:hAnsi="宋体" w:eastAsia="宋体" w:cs="宋体"/>
          <w:b w:val="0"/>
          <w:bCs w:val="0"/>
          <w:i w:val="0"/>
          <w:iCs w:val="0"/>
          <w:caps w:val="0"/>
          <w:spacing w:val="0"/>
          <w:kern w:val="0"/>
          <w:sz w:val="24"/>
          <w:szCs w:val="24"/>
          <w:shd w:val="clear" w:fill="FFFFFF"/>
          <w:lang w:val="en-US" w:eastAsia="zh-CN" w:bidi="ar"/>
        </w:rPr>
        <w:t>采购需求要求的相关资料</w:t>
      </w:r>
      <w:r>
        <w:rPr>
          <w:rFonts w:hint="eastAsia" w:ascii="宋体" w:hAnsi="宋体" w:eastAsia="宋体" w:cs="宋体"/>
          <w:b w:val="0"/>
          <w:bCs w:val="0"/>
          <w:i w:val="0"/>
          <w:iCs w:val="0"/>
          <w:caps w:val="0"/>
          <w:spacing w:val="0"/>
          <w:kern w:val="0"/>
          <w:sz w:val="24"/>
          <w:szCs w:val="24"/>
          <w:shd w:val="clear" w:fill="FFFFFF"/>
          <w:lang w:val="en-US" w:eastAsia="zh-CN" w:bidi="ar"/>
        </w:rPr>
        <w:t>需加盖公司公章。</w:t>
      </w:r>
    </w:p>
    <w:p w14:paraId="1FEC34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spacing w:val="0"/>
          <w:kern w:val="0"/>
          <w:sz w:val="24"/>
          <w:szCs w:val="24"/>
          <w:shd w:val="clear" w:fill="FFFFFF"/>
          <w:lang w:val="en-US" w:eastAsia="zh-CN" w:bidi="ar"/>
        </w:rPr>
        <w:t>3.投标截止时间：2025年4月2日下午16:00，投标文件密封送至我院后勤保障部罗老师收，电话号码：028-65978238。技术参数请联系：尚老师，联系电话：028-65978223。</w:t>
      </w:r>
    </w:p>
    <w:p w14:paraId="1EAEF28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val="0"/>
          <w:bCs w:val="0"/>
          <w:i w:val="0"/>
          <w:iCs w:val="0"/>
          <w:caps w:val="0"/>
          <w:spacing w:val="0"/>
          <w:kern w:val="0"/>
          <w:sz w:val="24"/>
          <w:szCs w:val="24"/>
          <w:shd w:val="clear" w:fill="FFFFFF"/>
          <w:lang w:val="en-US" w:eastAsia="zh-CN" w:bidi="ar"/>
        </w:rPr>
      </w:pPr>
      <w:r>
        <w:rPr>
          <w:rFonts w:hint="eastAsia" w:ascii="宋体" w:hAnsi="宋体" w:eastAsia="宋体" w:cs="宋体"/>
          <w:b w:val="0"/>
          <w:bCs w:val="0"/>
          <w:i w:val="0"/>
          <w:iCs w:val="0"/>
          <w:caps w:val="0"/>
          <w:spacing w:val="0"/>
          <w:kern w:val="0"/>
          <w:sz w:val="24"/>
          <w:szCs w:val="24"/>
          <w:shd w:val="clear" w:fill="FFFFFF"/>
          <w:lang w:val="en-US" w:eastAsia="zh-CN" w:bidi="ar"/>
        </w:rPr>
        <w:t>4.投标文件递交地址：四川省妇幼保健院（晋阳院区）后勤保障部（综合楼2楼203室），地址：成都市武侯区沙堰西二街290号。</w:t>
      </w:r>
    </w:p>
    <w:p w14:paraId="539CB4F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bCs/>
          <w:i w:val="0"/>
          <w:iCs w:val="0"/>
          <w:caps w:val="0"/>
          <w:spacing w:val="0"/>
          <w:kern w:val="0"/>
          <w:sz w:val="24"/>
          <w:szCs w:val="24"/>
          <w:shd w:val="clear" w:fill="FFFFFF"/>
          <w:lang w:val="en-US" w:eastAsia="zh-CN" w:bidi="ar"/>
        </w:rPr>
      </w:pPr>
    </w:p>
    <w:p w14:paraId="4672F7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bCs/>
          <w:i w:val="0"/>
          <w:iCs w:val="0"/>
          <w:caps w:val="0"/>
          <w:spacing w:val="0"/>
          <w:kern w:val="0"/>
          <w:sz w:val="24"/>
          <w:szCs w:val="24"/>
          <w:shd w:val="clear" w:fill="FFFFFF"/>
          <w:lang w:val="en-US" w:eastAsia="zh-CN" w:bidi="ar"/>
        </w:rPr>
      </w:pPr>
    </w:p>
    <w:p w14:paraId="5069B2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bCs/>
          <w:i w:val="0"/>
          <w:iCs w:val="0"/>
          <w:caps w:val="0"/>
          <w:spacing w:val="0"/>
          <w:kern w:val="0"/>
          <w:sz w:val="24"/>
          <w:szCs w:val="24"/>
          <w:shd w:val="clear" w:fill="FFFFFF"/>
          <w:lang w:val="en-US" w:eastAsia="zh-CN" w:bidi="ar"/>
        </w:rPr>
      </w:pPr>
    </w:p>
    <w:p w14:paraId="662FFE1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b/>
          <w:bCs/>
          <w:i w:val="0"/>
          <w:iCs w:val="0"/>
          <w:caps w:val="0"/>
          <w:spacing w:val="0"/>
          <w:kern w:val="0"/>
          <w:sz w:val="24"/>
          <w:szCs w:val="24"/>
          <w:shd w:val="clear" w:fill="FFFFFF"/>
          <w:lang w:val="en-US" w:eastAsia="zh-CN" w:bidi="ar"/>
        </w:rPr>
      </w:pPr>
    </w:p>
    <w:p w14:paraId="48E8E8D0">
      <w:pPr>
        <w:pStyle w:val="3"/>
        <w:rPr>
          <w:rFonts w:hint="eastAsia" w:ascii="宋体" w:hAnsi="宋体" w:eastAsia="宋体" w:cs="宋体"/>
          <w:i w:val="0"/>
          <w:iCs w:val="0"/>
          <w:caps w:val="0"/>
          <w:spacing w:val="0"/>
          <w:kern w:val="0"/>
          <w:sz w:val="24"/>
          <w:szCs w:val="24"/>
          <w:shd w:val="clear" w:fill="FFFFFF"/>
          <w:lang w:val="en-US" w:eastAsia="zh-CN" w:bidi="ar"/>
        </w:rPr>
      </w:pPr>
    </w:p>
    <w:p w14:paraId="2096F9FD">
      <w:pPr>
        <w:pStyle w:val="3"/>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附件1：</w:t>
      </w:r>
    </w:p>
    <w:p w14:paraId="75171964">
      <w:pPr>
        <w:pStyle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本项目的特定资格要求：</w:t>
      </w:r>
    </w:p>
    <w:p w14:paraId="2D05B28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投标人必须具备有效期内的建筑业企业资质证书，且资质类别及等级为建筑工程施工总承包三级或以上或钢结构工程专业承包三级或以上；投标人必须具备有效期内的建筑工程的安全生产许可证；</w:t>
      </w:r>
    </w:p>
    <w:p w14:paraId="4F12BCE4">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投标人具备建设行政主管部门颁发的工程设计建筑行业（建筑工程）</w:t>
      </w:r>
      <w:r>
        <w:rPr>
          <w:rFonts w:hint="eastAsia" w:ascii="宋体" w:hAnsi="宋体" w:eastAsia="宋体" w:cs="宋体"/>
          <w:sz w:val="24"/>
          <w:szCs w:val="24"/>
          <w:highlight w:val="none"/>
          <w:lang w:val="en-US" w:eastAsia="zh-CN"/>
        </w:rPr>
        <w:t>丁</w:t>
      </w:r>
      <w:r>
        <w:rPr>
          <w:rFonts w:hint="eastAsia" w:ascii="宋体" w:hAnsi="宋体" w:eastAsia="宋体" w:cs="宋体"/>
          <w:sz w:val="24"/>
          <w:szCs w:val="24"/>
          <w:highlight w:val="none"/>
        </w:rPr>
        <w:t>级及以上资质</w:t>
      </w:r>
      <w:r>
        <w:rPr>
          <w:rFonts w:hint="eastAsia" w:ascii="宋体" w:hAnsi="宋体" w:eastAsia="宋体" w:cs="宋体"/>
          <w:sz w:val="24"/>
          <w:szCs w:val="24"/>
          <w:highlight w:val="none"/>
          <w:lang w:eastAsia="zh-CN"/>
        </w:rPr>
        <w:t>。</w:t>
      </w:r>
    </w:p>
    <w:p w14:paraId="346BD9F0">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本项目允许联合体参与投标：</w:t>
      </w:r>
    </w:p>
    <w:p w14:paraId="72D73B1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（1）以联合体形式参加投标的，联合体各方均应当符合《中华人民共和国政府采购法》第二十二条第一款规定的条件，并提交联合体协议，载明联合体各方承担的工作和相应的责任。。</w:t>
      </w:r>
    </w:p>
    <w:p w14:paraId="0E4675BC">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（2）联合体中有同类资质的供应商按照联合体分工承担相同工作的，应当按照资质等级较低的供应商确定资质等级。</w:t>
      </w:r>
    </w:p>
    <w:p w14:paraId="5889AFD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拟派项目经理需具备建筑工程专业二级及以上注册建造师证，具有省级及以上住房城乡建设主管部门颁发的安全生产考核合格证（B证）</w:t>
      </w:r>
    </w:p>
    <w:p w14:paraId="6FB53849">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项目经理施工期间每月驻场时间不得少于22日。</w:t>
      </w:r>
    </w:p>
    <w:p w14:paraId="2281740B">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拟任项目经理在参加本项目投标时（指提交投标文件截止时间），不得在其他合同履行期间（合同履行期间是指从工程项目签订承包合同之日起至工程项目验收合格之日止的时间)的工程项目中担任项目经理或施工负责人。</w:t>
      </w:r>
    </w:p>
    <w:p w14:paraId="1AF0815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企业注册地不在四川省行政区域内的省外企业须提供在有效期内的四川省住房和城乡建设厅官网已公开的入川信息网页截图。</w:t>
      </w:r>
    </w:p>
    <w:p w14:paraId="1EA2367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禁止分包、转包。</w:t>
      </w:r>
    </w:p>
    <w:p w14:paraId="589CC9D0">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为本采购项目提供造价、监理、检测等服务的供应商，不得再参加本项目招标采购活动。</w:t>
      </w:r>
    </w:p>
    <w:p w14:paraId="3BFB29BA">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最高限价</w:t>
      </w:r>
      <w:r>
        <w:rPr>
          <w:rFonts w:hint="eastAsia" w:ascii="宋体" w:hAnsi="宋体" w:eastAsia="宋体" w:cs="宋体"/>
          <w:b/>
          <w:bCs/>
          <w:i w:val="0"/>
          <w:caps w:val="0"/>
          <w:color w:val="auto"/>
          <w:spacing w:val="0"/>
          <w:w w:val="100"/>
          <w:sz w:val="24"/>
          <w:szCs w:val="24"/>
          <w:highlight w:val="none"/>
          <w:lang w:eastAsia="zh-CN"/>
        </w:rPr>
        <w:t>：</w:t>
      </w:r>
      <w:r>
        <w:rPr>
          <w:rFonts w:hint="eastAsia" w:ascii="宋体" w:hAnsi="宋体" w:eastAsia="宋体" w:cs="宋体"/>
          <w:b/>
          <w:bCs/>
          <w:i w:val="0"/>
          <w:caps w:val="0"/>
          <w:color w:val="auto"/>
          <w:spacing w:val="0"/>
          <w:w w:val="100"/>
          <w:sz w:val="24"/>
          <w:szCs w:val="24"/>
          <w:highlight w:val="none"/>
          <w:lang w:val="en-US" w:eastAsia="zh-CN"/>
        </w:rPr>
        <w:t>15万元。</w:t>
      </w:r>
    </w:p>
    <w:p w14:paraId="71C62731">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（一）项目基本情况</w:t>
      </w:r>
    </w:p>
    <w:p w14:paraId="23A95728">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按照采购人需求和现行国家、行业、地方规范设计（含方案设计及施工图设计）并施工建设天府院区门诊楼前广场金属探测门及X光机遮雨设施</w:t>
      </w:r>
      <w:r>
        <w:rPr>
          <w:rFonts w:hint="eastAsia" w:ascii="宋体" w:hAnsi="宋体" w:eastAsia="宋体" w:cs="宋体"/>
          <w:b/>
          <w:bCs/>
          <w:i w:val="0"/>
          <w:caps w:val="0"/>
          <w:color w:val="auto"/>
          <w:spacing w:val="0"/>
          <w:w w:val="100"/>
          <w:sz w:val="24"/>
          <w:szCs w:val="24"/>
          <w:highlight w:val="none"/>
          <w:lang w:val="en-US" w:eastAsia="zh-CN"/>
        </w:rPr>
        <w:t>。</w:t>
      </w:r>
    </w:p>
    <w:p w14:paraId="76FF7590">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​建设地点：</w:t>
      </w:r>
      <w:r>
        <w:rPr>
          <w:rFonts w:hint="eastAsia" w:ascii="宋体" w:hAnsi="宋体" w:eastAsia="宋体" w:cs="宋体"/>
          <w:b w:val="0"/>
          <w:bCs w:val="0"/>
          <w:i w:val="0"/>
          <w:caps w:val="0"/>
          <w:color w:val="auto"/>
          <w:spacing w:val="0"/>
          <w:w w:val="100"/>
          <w:sz w:val="24"/>
          <w:szCs w:val="24"/>
          <w:highlight w:val="none"/>
          <w:lang w:val="en-US" w:eastAsia="zh-CN"/>
        </w:rPr>
        <w:t>天府院区门诊楼前广场1号岗亭旁</w:t>
      </w:r>
    </w:p>
    <w:p w14:paraId="0851C8C6">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100330</wp:posOffset>
            </wp:positionV>
            <wp:extent cx="4887595" cy="2185670"/>
            <wp:effectExtent l="0" t="0" r="8255" b="508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887595" cy="2185670"/>
                    </a:xfrm>
                    <a:prstGeom prst="rect">
                      <a:avLst/>
                    </a:prstGeom>
                    <a:noFill/>
                    <a:ln>
                      <a:noFill/>
                    </a:ln>
                  </pic:spPr>
                </pic:pic>
              </a:graphicData>
            </a:graphic>
          </wp:anchor>
        </w:drawing>
      </w:r>
    </w:p>
    <w:p w14:paraId="4F6C2886">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功能需求：</w:t>
      </w:r>
    </w:p>
    <w:p w14:paraId="00F9A1A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提供全天候遮雨、防晒及基础防护功能，满足金属探测门、X光机设备安全运行要求；</w:t>
      </w:r>
    </w:p>
    <w:p w14:paraId="12D5DAC1">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遮雨设施尺寸：内净宽6m×长4m×高2.5m；</w:t>
      </w:r>
    </w:p>
    <w:p w14:paraId="099E0E32">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材料要求：主体结构为钢材；基础为钢筋混凝土。</w:t>
      </w:r>
    </w:p>
    <w:p w14:paraId="178E8174">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配套系统：预留金属探测门、X光机设备电源接口、防雷接地装置、排水系统。</w:t>
      </w:r>
    </w:p>
    <w:p w14:paraId="668A0217">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遮雨设施侧面单独配备岗亭，为安检人员提供遮风避雨的安检工作区域，岗亭预留挂机空调电源接口。</w:t>
      </w:r>
    </w:p>
    <w:p w14:paraId="0AD31B8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遮雨设施及侧面岗亭外观设计结合一下元素：包含现代化医疗卫生、母婴、关爱、医院文化元素等</w:t>
      </w:r>
      <w:r>
        <w:rPr>
          <w:rFonts w:hint="eastAsia" w:ascii="宋体" w:hAnsi="宋体" w:eastAsia="宋体" w:cs="宋体"/>
          <w:b/>
          <w:bCs/>
          <w:i w:val="0"/>
          <w:caps w:val="0"/>
          <w:color w:val="auto"/>
          <w:spacing w:val="0"/>
          <w:w w:val="100"/>
          <w:sz w:val="24"/>
          <w:szCs w:val="24"/>
          <w:highlight w:val="none"/>
          <w:lang w:val="en-US" w:eastAsia="zh-CN"/>
        </w:rPr>
        <w:t>。</w:t>
      </w:r>
    </w:p>
    <w:p w14:paraId="4FD508DE">
      <w:pPr>
        <w:pStyle w:val="7"/>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医院文化元素介绍。</w:t>
      </w:r>
    </w:p>
    <w:p w14:paraId="416C8275">
      <w:pPr>
        <w:keepNext w:val="0"/>
        <w:keepLines w:val="0"/>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办院方针：</w:t>
      </w:r>
      <w:r>
        <w:rPr>
          <w:rFonts w:hint="eastAsia" w:ascii="宋体" w:hAnsi="宋体" w:eastAsia="宋体" w:cs="宋体"/>
          <w:kern w:val="2"/>
          <w:sz w:val="24"/>
          <w:szCs w:val="24"/>
          <w:lang w:val="en-US" w:eastAsia="zh-CN" w:bidi="ar-SA"/>
        </w:rPr>
        <w:t>公卫为立院之基，临床为发展之翼</w:t>
      </w:r>
    </w:p>
    <w:p w14:paraId="191F3C11">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宗旨：</w:t>
      </w:r>
      <w:r>
        <w:rPr>
          <w:rFonts w:hint="eastAsia" w:ascii="宋体" w:hAnsi="宋体" w:eastAsia="宋体" w:cs="宋体"/>
          <w:kern w:val="2"/>
          <w:sz w:val="24"/>
          <w:szCs w:val="24"/>
          <w:lang w:val="en-US" w:eastAsia="zh-CN" w:bidi="ar-SA"/>
        </w:rPr>
        <w:t>以人为本  真心相护  以德为先  自强不息</w:t>
      </w:r>
    </w:p>
    <w:p w14:paraId="3C158577">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价值观：</w:t>
      </w:r>
      <w:r>
        <w:rPr>
          <w:rFonts w:hint="eastAsia" w:ascii="宋体" w:hAnsi="宋体" w:eastAsia="宋体" w:cs="宋体"/>
          <w:kern w:val="2"/>
          <w:sz w:val="24"/>
          <w:szCs w:val="24"/>
          <w:lang w:val="en-US" w:eastAsia="zh-CN" w:bidi="ar-SA"/>
        </w:rPr>
        <w:t>正直  勤俭  敬业  卓越</w:t>
      </w:r>
    </w:p>
    <w:p w14:paraId="4B8BEFDA">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职业精神：</w:t>
      </w:r>
      <w:r>
        <w:rPr>
          <w:rFonts w:hint="eastAsia" w:ascii="宋体" w:hAnsi="宋体" w:eastAsia="宋体" w:cs="宋体"/>
          <w:kern w:val="2"/>
          <w:sz w:val="24"/>
          <w:szCs w:val="24"/>
          <w:lang w:val="en-US" w:eastAsia="zh-CN" w:bidi="ar-SA"/>
        </w:rPr>
        <w:t>敬佑生命  救死扶伤  甘于奉献  大爱无疆</w:t>
      </w:r>
    </w:p>
    <w:p w14:paraId="5FB37C9B">
      <w:pPr>
        <w:keepNext w:val="0"/>
        <w:keepLines w:val="0"/>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愿景：</w:t>
      </w:r>
      <w:r>
        <w:rPr>
          <w:rFonts w:hint="eastAsia" w:ascii="宋体" w:hAnsi="宋体" w:eastAsia="宋体" w:cs="宋体"/>
          <w:kern w:val="2"/>
          <w:sz w:val="24"/>
          <w:szCs w:val="24"/>
          <w:lang w:val="en-US" w:eastAsia="zh-CN" w:bidi="ar-SA"/>
        </w:rPr>
        <w:t>妇女儿童和员工首选的妇幼保健机构与专科医院，全国一流的妇幼卫生研究机构，行政主管部门的新型智库。</w:t>
      </w:r>
    </w:p>
    <w:p w14:paraId="1E7BFE9C">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使命：</w:t>
      </w:r>
      <w:r>
        <w:rPr>
          <w:rFonts w:hint="eastAsia" w:ascii="宋体" w:hAnsi="宋体" w:eastAsia="宋体" w:cs="宋体"/>
          <w:kern w:val="2"/>
          <w:sz w:val="24"/>
          <w:szCs w:val="24"/>
          <w:lang w:val="en-US" w:eastAsia="zh-CN" w:bidi="ar-SA"/>
        </w:rPr>
        <w:t>提供个性化、专业化的高品质医疗保障服务，提升全省妇幼保健机构服务能力与管理水平。</w:t>
      </w:r>
    </w:p>
    <w:p w14:paraId="2283C5B4">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院徽:</w:t>
      </w:r>
    </w:p>
    <w:p w14:paraId="1D002150">
      <w:pPr>
        <w:pStyle w:val="2"/>
        <w:keepNext w:val="0"/>
        <w:keepLines w:val="0"/>
        <w:pageBreakBefore w:val="0"/>
        <w:kinsoku/>
        <w:overflowPunct/>
        <w:topLinePunct w:val="0"/>
        <w:autoSpaceDE/>
        <w:autoSpaceDN/>
        <w:bidi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722245" cy="2722245"/>
            <wp:effectExtent l="0" t="0" r="1905" b="1905"/>
            <wp:docPr id="4" name="图片 4" descr="四川省妇幼保健院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四川省妇幼保健院院徽"/>
                    <pic:cNvPicPr>
                      <a:picLocks noChangeAspect="1"/>
                    </pic:cNvPicPr>
                  </pic:nvPicPr>
                  <pic:blipFill>
                    <a:blip r:embed="rId5"/>
                    <a:stretch>
                      <a:fillRect/>
                    </a:stretch>
                  </pic:blipFill>
                  <pic:spPr>
                    <a:xfrm>
                      <a:off x="0" y="0"/>
                      <a:ext cx="2722245" cy="2722245"/>
                    </a:xfrm>
                    <a:prstGeom prst="rect">
                      <a:avLst/>
                    </a:prstGeom>
                  </pic:spPr>
                </pic:pic>
              </a:graphicData>
            </a:graphic>
          </wp:inline>
        </w:drawing>
      </w:r>
    </w:p>
    <w:p w14:paraId="492F822E">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卡通形象：</w:t>
      </w:r>
    </w:p>
    <w:p w14:paraId="4EB9924A">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drawing>
          <wp:anchor distT="0" distB="0" distL="114300" distR="114300" simplePos="0" relativeHeight="251661312" behindDoc="0" locked="0" layoutInCell="1" allowOverlap="1">
            <wp:simplePos x="0" y="0"/>
            <wp:positionH relativeFrom="column">
              <wp:posOffset>1602740</wp:posOffset>
            </wp:positionH>
            <wp:positionV relativeFrom="paragraph">
              <wp:posOffset>2526665</wp:posOffset>
            </wp:positionV>
            <wp:extent cx="1979295" cy="1704340"/>
            <wp:effectExtent l="0" t="0" r="10160" b="1905"/>
            <wp:wrapTopAndBottom/>
            <wp:docPr id="3" name="图片 3" descr="48964f54d87d0ea4787edc2ceab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964f54d87d0ea4787edc2ceab3393"/>
                    <pic:cNvPicPr>
                      <a:picLocks noChangeAspect="1"/>
                    </pic:cNvPicPr>
                  </pic:nvPicPr>
                  <pic:blipFill>
                    <a:blip r:embed="rId6"/>
                    <a:srcRect l="10039" t="32948" r="22668" b="14415"/>
                    <a:stretch>
                      <a:fillRect/>
                    </a:stretch>
                  </pic:blipFill>
                  <pic:spPr>
                    <a:xfrm rot="16200000">
                      <a:off x="0" y="0"/>
                      <a:ext cx="1979295" cy="170434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93345</wp:posOffset>
            </wp:positionH>
            <wp:positionV relativeFrom="paragraph">
              <wp:posOffset>349250</wp:posOffset>
            </wp:positionV>
            <wp:extent cx="5064760" cy="1783080"/>
            <wp:effectExtent l="0" t="0" r="2540" b="762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064760" cy="1783080"/>
                    </a:xfrm>
                    <a:prstGeom prst="rect">
                      <a:avLst/>
                    </a:prstGeom>
                    <a:noFill/>
                    <a:ln>
                      <a:noFill/>
                    </a:ln>
                  </pic:spPr>
                </pic:pic>
              </a:graphicData>
            </a:graphic>
          </wp:anchor>
        </w:drawing>
      </w:r>
    </w:p>
    <w:p w14:paraId="563D9D91">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p>
    <w:p w14:paraId="6F7ED2BC">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工期：</w:t>
      </w:r>
      <w:r>
        <w:rPr>
          <w:rFonts w:hint="eastAsia" w:ascii="宋体" w:hAnsi="宋体" w:eastAsia="宋体" w:cs="宋体"/>
          <w:b w:val="0"/>
          <w:bCs w:val="0"/>
          <w:i w:val="0"/>
          <w:caps w:val="0"/>
          <w:color w:val="auto"/>
          <w:spacing w:val="0"/>
          <w:w w:val="100"/>
          <w:sz w:val="24"/>
          <w:szCs w:val="24"/>
          <w:highlight w:val="none"/>
          <w:lang w:val="en-US" w:eastAsia="zh-CN"/>
        </w:rPr>
        <w:t>合同签订生效之日起，设计工作须在5天内完成，施工为40天内完成。</w:t>
      </w:r>
    </w:p>
    <w:p w14:paraId="1E153218">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建筑占地面积小于30平方米。</w:t>
      </w:r>
    </w:p>
    <w:p w14:paraId="45F41DF6">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付款方法和条件：</w:t>
      </w:r>
    </w:p>
    <w:p w14:paraId="439C1121">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1.中标人完成施工图并进场施工后采购人支付至中标金额的30%；</w:t>
      </w:r>
    </w:p>
    <w:p w14:paraId="13D944B4">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2.项目竣工验收合格后，采购人支付至中标金额的97%。</w:t>
      </w:r>
    </w:p>
    <w:p w14:paraId="6E527EC9">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3.缺陷责任期（24个月）满后，采购人结清剩余款项，付中标金额的3%。</w:t>
      </w:r>
    </w:p>
    <w:p w14:paraId="71BF6435">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4.款项支付前提均为中标人向采购人出具中标金额全额有效的发票（第一次支付时）以及付款申请后，经采购人确认无误后办理款项支付事宜，在30个工作日内支付。</w:t>
      </w:r>
    </w:p>
    <w:p w14:paraId="1264AA1F">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评分办法</w:t>
      </w:r>
    </w:p>
    <w:p w14:paraId="1C5878AE">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投标人投标时提供设计方案并现场介绍（设计方案包含定向效果图、三维可视化模型（3D全景效果图））</w:t>
      </w:r>
    </w:p>
    <w:p w14:paraId="5E293131">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jc w:val="both"/>
        <w:textAlignment w:val="auto"/>
        <w:outlineLvl w:val="9"/>
        <w:rPr>
          <w:rFonts w:hint="eastAsia" w:ascii="宋体" w:hAnsi="宋体" w:eastAsia="宋体" w:cs="宋体"/>
          <w:sz w:val="24"/>
          <w:szCs w:val="24"/>
          <w:lang w:val="en-US" w:eastAsia="zh-CN"/>
        </w:rPr>
      </w:pPr>
    </w:p>
    <w:tbl>
      <w:tblPr>
        <w:tblStyle w:val="8"/>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125"/>
        <w:gridCol w:w="1125"/>
        <w:gridCol w:w="5625"/>
        <w:gridCol w:w="943"/>
      </w:tblGrid>
      <w:tr w14:paraId="160B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0CA8D346">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5" w:type="dxa"/>
            <w:noWrap/>
            <w:vAlign w:val="center"/>
          </w:tcPr>
          <w:p w14:paraId="6379AE95">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评分因素和权值</w:t>
            </w:r>
          </w:p>
        </w:tc>
        <w:tc>
          <w:tcPr>
            <w:tcW w:w="1125" w:type="dxa"/>
            <w:noWrap/>
            <w:vAlign w:val="center"/>
          </w:tcPr>
          <w:p w14:paraId="2F6763C7">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分值</w:t>
            </w:r>
          </w:p>
        </w:tc>
        <w:tc>
          <w:tcPr>
            <w:tcW w:w="5625" w:type="dxa"/>
            <w:noWrap/>
            <w:vAlign w:val="center"/>
          </w:tcPr>
          <w:p w14:paraId="1246B5F4">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评分标准</w:t>
            </w:r>
          </w:p>
        </w:tc>
        <w:tc>
          <w:tcPr>
            <w:tcW w:w="943" w:type="dxa"/>
            <w:noWrap/>
            <w:vAlign w:val="center"/>
          </w:tcPr>
          <w:p w14:paraId="35198C28">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备注</w:t>
            </w:r>
          </w:p>
        </w:tc>
      </w:tr>
      <w:tr w14:paraId="5BD3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3D6129E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125" w:type="dxa"/>
            <w:noWrap/>
            <w:vAlign w:val="center"/>
          </w:tcPr>
          <w:p w14:paraId="494408C7">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报价</w:t>
            </w:r>
            <w:r>
              <w:rPr>
                <w:rFonts w:hint="eastAsia" w:ascii="宋体" w:hAnsi="宋体" w:eastAsia="宋体" w:cs="宋体"/>
                <w:sz w:val="24"/>
                <w:szCs w:val="24"/>
                <w:lang w:val="en-US" w:eastAsia="zh-CN"/>
              </w:rPr>
              <w:t>20</w:t>
            </w:r>
            <w:r>
              <w:rPr>
                <w:rFonts w:hint="eastAsia" w:ascii="宋体" w:hAnsi="宋体" w:eastAsia="宋体" w:cs="宋体"/>
                <w:sz w:val="24"/>
                <w:szCs w:val="24"/>
              </w:rPr>
              <w:t>%</w:t>
            </w:r>
          </w:p>
        </w:tc>
        <w:tc>
          <w:tcPr>
            <w:tcW w:w="1125" w:type="dxa"/>
            <w:noWrap/>
            <w:vAlign w:val="center"/>
          </w:tcPr>
          <w:p w14:paraId="0F966C6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5625" w:type="dxa"/>
            <w:noWrap/>
            <w:vAlign w:val="center"/>
          </w:tcPr>
          <w:p w14:paraId="0DDDEDDF">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满足采购文件要求且价格最低的报价为评审基准价，其价格分为满分。其他供应商的价格分统一按照下列公式计算：报价得分=(评审基准价／投标报价)×</w:t>
            </w:r>
            <w:r>
              <w:rPr>
                <w:rFonts w:hint="eastAsia" w:ascii="宋体" w:hAnsi="宋体" w:eastAsia="宋体" w:cs="宋体"/>
                <w:sz w:val="24"/>
                <w:szCs w:val="24"/>
                <w:lang w:val="en-US" w:eastAsia="zh-CN"/>
              </w:rPr>
              <w:t>2</w:t>
            </w:r>
            <w:r>
              <w:rPr>
                <w:rFonts w:hint="eastAsia" w:ascii="宋体" w:hAnsi="宋体" w:eastAsia="宋体" w:cs="宋体"/>
                <w:sz w:val="24"/>
                <w:szCs w:val="24"/>
              </w:rPr>
              <w:t>0分。</w:t>
            </w:r>
          </w:p>
        </w:tc>
        <w:tc>
          <w:tcPr>
            <w:tcW w:w="943" w:type="dxa"/>
            <w:noWrap/>
            <w:vAlign w:val="center"/>
          </w:tcPr>
          <w:p w14:paraId="00DF45FA">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共同评审因素</w:t>
            </w:r>
          </w:p>
        </w:tc>
      </w:tr>
      <w:tr w14:paraId="3375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noWrap/>
            <w:vAlign w:val="center"/>
          </w:tcPr>
          <w:p w14:paraId="26C566EC">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125" w:type="dxa"/>
            <w:noWrap/>
            <w:vAlign w:val="center"/>
          </w:tcPr>
          <w:p w14:paraId="4301A5E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履约能力12%</w:t>
            </w:r>
          </w:p>
        </w:tc>
        <w:tc>
          <w:tcPr>
            <w:tcW w:w="1125" w:type="dxa"/>
            <w:noWrap/>
            <w:vAlign w:val="center"/>
          </w:tcPr>
          <w:p w14:paraId="4FBF6CA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12分</w:t>
            </w:r>
          </w:p>
        </w:tc>
        <w:tc>
          <w:tcPr>
            <w:tcW w:w="5625" w:type="dxa"/>
            <w:noWrap/>
            <w:vAlign w:val="center"/>
          </w:tcPr>
          <w:p w14:paraId="19DA707A">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投标人提供自2022年1月1日起至响应文件递交截止日的已完成类似项目业绩的，每提供一个得4分，最高12分。</w:t>
            </w:r>
          </w:p>
          <w:p w14:paraId="7AAA90B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说明：1、类似业绩须提供中标（成交）通知书或合同（协议），不提供的不得分。</w:t>
            </w:r>
          </w:p>
          <w:p w14:paraId="300F953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2、类似业绩须提供该项目设计方案、效果图，不提供的不得分。</w:t>
            </w:r>
          </w:p>
        </w:tc>
        <w:tc>
          <w:tcPr>
            <w:tcW w:w="943" w:type="dxa"/>
            <w:noWrap/>
            <w:vAlign w:val="center"/>
          </w:tcPr>
          <w:p w14:paraId="62C0B190">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共同评审因素</w:t>
            </w:r>
          </w:p>
        </w:tc>
      </w:tr>
      <w:tr w14:paraId="6593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vMerge w:val="restart"/>
            <w:noWrap/>
            <w:vAlign w:val="center"/>
          </w:tcPr>
          <w:p w14:paraId="35C6F765">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5" w:type="dxa"/>
            <w:vMerge w:val="restart"/>
            <w:noWrap/>
            <w:vAlign w:val="center"/>
          </w:tcPr>
          <w:p w14:paraId="7CA52000">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设计方案40%</w:t>
            </w:r>
          </w:p>
        </w:tc>
        <w:tc>
          <w:tcPr>
            <w:tcW w:w="1125" w:type="dxa"/>
            <w:noWrap/>
            <w:vAlign w:val="center"/>
          </w:tcPr>
          <w:p w14:paraId="5AEC93F6">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设计方案内容8分</w:t>
            </w:r>
          </w:p>
        </w:tc>
        <w:tc>
          <w:tcPr>
            <w:tcW w:w="5625" w:type="dxa"/>
            <w:noWrap/>
            <w:vAlign w:val="center"/>
          </w:tcPr>
          <w:p w14:paraId="683A243A">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人针对本项目制定设计方案，包括但不限于以下6项内容要素：1、项目理解及分析（至少包含：项目设计重点、难点分析，以及对应的解决措施）2、满足招标文件以外的设计依据或规范或标准的整理3、设计工作进度计划及保障措施、4、设计成果质量保障措施</w:t>
            </w:r>
          </w:p>
          <w:p w14:paraId="08F7FABB">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完全满足要求内容丰富且符合项目实际情况得8分，每有一项缺漏或描述不完整或不满足实际情况的扣2分，直到扣完为止。未提供不得分。</w:t>
            </w:r>
          </w:p>
          <w:p w14:paraId="29EAE7A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6A1F8418">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提供设计方案</w:t>
            </w:r>
          </w:p>
        </w:tc>
      </w:tr>
      <w:tr w14:paraId="3CBA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vMerge w:val="continue"/>
            <w:noWrap/>
            <w:vAlign w:val="center"/>
          </w:tcPr>
          <w:p w14:paraId="7395CCC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vMerge w:val="continue"/>
            <w:noWrap/>
            <w:vAlign w:val="center"/>
          </w:tcPr>
          <w:p w14:paraId="63CD4F7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noWrap/>
            <w:vAlign w:val="center"/>
          </w:tcPr>
          <w:p w14:paraId="688B5AD6">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设计方案整体构思</w:t>
            </w:r>
          </w:p>
          <w:p w14:paraId="1D344664">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rPr>
              <w:t>分</w:t>
            </w:r>
          </w:p>
        </w:tc>
        <w:tc>
          <w:tcPr>
            <w:tcW w:w="5625" w:type="dxa"/>
            <w:noWrap/>
            <w:vAlign w:val="center"/>
          </w:tcPr>
          <w:p w14:paraId="3B55F12F">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1、能准确表达构思、风格统一、切合我院的主题思想；</w:t>
            </w:r>
          </w:p>
          <w:p w14:paraId="669707B7">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2、表现形式灵活、丰富、生动；</w:t>
            </w:r>
          </w:p>
          <w:p w14:paraId="58F125D1">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3、方案内容结构清晰、精神主题突出、完善；</w:t>
            </w:r>
          </w:p>
          <w:p w14:paraId="46BE492C">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4、展示主题设计明确，特色鲜明，方案脉络清晰，主次分明，相辅相成；</w:t>
            </w:r>
          </w:p>
          <w:p w14:paraId="06E9D377">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w:t>
            </w:r>
            <w:r>
              <w:rPr>
                <w:rFonts w:hint="eastAsia" w:ascii="宋体" w:hAnsi="宋体" w:eastAsia="宋体" w:cs="宋体"/>
                <w:sz w:val="24"/>
                <w:szCs w:val="24"/>
                <w:lang w:val="en-US" w:eastAsia="zh-CN"/>
              </w:rPr>
              <w:t>8</w:t>
            </w:r>
            <w:r>
              <w:rPr>
                <w:rFonts w:hint="eastAsia" w:ascii="宋体" w:hAnsi="宋体" w:eastAsia="宋体" w:cs="宋体"/>
                <w:sz w:val="24"/>
                <w:szCs w:val="24"/>
              </w:rPr>
              <w:t>分，每有一项缺漏或描述不完整或不满足实际情况的扣</w:t>
            </w:r>
            <w:r>
              <w:rPr>
                <w:rFonts w:hint="eastAsia" w:ascii="宋体" w:hAnsi="宋体" w:eastAsia="宋体" w:cs="宋体"/>
                <w:sz w:val="24"/>
                <w:szCs w:val="24"/>
                <w:lang w:val="en-US" w:eastAsia="zh-CN"/>
              </w:rPr>
              <w:t>2</w:t>
            </w:r>
            <w:r>
              <w:rPr>
                <w:rFonts w:hint="eastAsia" w:ascii="宋体" w:hAnsi="宋体" w:eastAsia="宋体" w:cs="宋体"/>
                <w:sz w:val="24"/>
                <w:szCs w:val="24"/>
              </w:rPr>
              <w:t>分，直到扣完为止。未提供不得分。</w:t>
            </w:r>
          </w:p>
          <w:p w14:paraId="18F5C99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注：不完整指内容具有明显缺陷，只有单纯的文字描述，前后内容无法连贯；方案内容矛盾</w:t>
            </w:r>
            <w:r>
              <w:rPr>
                <w:rFonts w:hint="eastAsia" w:ascii="宋体" w:hAnsi="宋体" w:eastAsia="宋体" w:cs="宋体"/>
                <w:sz w:val="24"/>
                <w:szCs w:val="24"/>
                <w:lang w:eastAsia="zh-CN"/>
              </w:rPr>
              <w:t>；</w:t>
            </w:r>
            <w:r>
              <w:rPr>
                <w:rFonts w:hint="eastAsia" w:ascii="宋体" w:hAnsi="宋体" w:eastAsia="宋体" w:cs="宋体"/>
                <w:sz w:val="24"/>
                <w:szCs w:val="24"/>
              </w:rPr>
              <w:t>仅有框架或标题</w:t>
            </w:r>
            <w:r>
              <w:rPr>
                <w:rFonts w:hint="eastAsia" w:ascii="宋体" w:hAnsi="宋体" w:eastAsia="宋体" w:cs="宋体"/>
                <w:sz w:val="24"/>
                <w:szCs w:val="24"/>
                <w:lang w:eastAsia="zh-CN"/>
              </w:rPr>
              <w:t>；明显复制其他项目内容；</w:t>
            </w:r>
            <w:r>
              <w:rPr>
                <w:rFonts w:hint="eastAsia" w:ascii="宋体" w:hAnsi="宋体" w:eastAsia="宋体" w:cs="宋体"/>
                <w:sz w:val="24"/>
                <w:szCs w:val="24"/>
              </w:rPr>
              <w:t>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44E94370">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提供设计方案</w:t>
            </w:r>
          </w:p>
        </w:tc>
      </w:tr>
      <w:tr w14:paraId="3E92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vMerge w:val="continue"/>
            <w:noWrap/>
            <w:vAlign w:val="center"/>
          </w:tcPr>
          <w:p w14:paraId="19040FE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vMerge w:val="continue"/>
            <w:noWrap/>
            <w:vAlign w:val="center"/>
          </w:tcPr>
          <w:p w14:paraId="394D78E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noWrap/>
            <w:vAlign w:val="center"/>
          </w:tcPr>
          <w:p w14:paraId="3AEB5DC9">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内容与形式的协调统一</w:t>
            </w:r>
          </w:p>
          <w:p w14:paraId="6B430A05">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rPr>
              <w:t>分</w:t>
            </w:r>
          </w:p>
        </w:tc>
        <w:tc>
          <w:tcPr>
            <w:tcW w:w="5625" w:type="dxa"/>
            <w:noWrap/>
            <w:vAlign w:val="center"/>
          </w:tcPr>
          <w:p w14:paraId="749868C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1、主题突出，形式多样；</w:t>
            </w:r>
          </w:p>
          <w:p w14:paraId="2A8FB23B">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2、内容与形式完美统一；</w:t>
            </w:r>
          </w:p>
          <w:p w14:paraId="2573A66A">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3、在展示艺术和表现手法上寻求新的探索和突破；</w:t>
            </w:r>
          </w:p>
          <w:p w14:paraId="6AF84194">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w:t>
            </w:r>
            <w:r>
              <w:rPr>
                <w:rFonts w:hint="eastAsia" w:ascii="宋体" w:hAnsi="宋体" w:eastAsia="宋体" w:cs="宋体"/>
                <w:sz w:val="24"/>
                <w:szCs w:val="24"/>
                <w:lang w:val="en-US" w:eastAsia="zh-CN"/>
              </w:rPr>
              <w:t>9</w:t>
            </w:r>
            <w:r>
              <w:rPr>
                <w:rFonts w:hint="eastAsia" w:ascii="宋体" w:hAnsi="宋体" w:eastAsia="宋体" w:cs="宋体"/>
                <w:sz w:val="24"/>
                <w:szCs w:val="24"/>
              </w:rPr>
              <w:t>分，每有一项缺漏或描述不完整或不满足实际情况的扣</w:t>
            </w:r>
            <w:r>
              <w:rPr>
                <w:rFonts w:hint="eastAsia" w:ascii="宋体" w:hAnsi="宋体" w:eastAsia="宋体" w:cs="宋体"/>
                <w:sz w:val="24"/>
                <w:szCs w:val="24"/>
                <w:lang w:val="en-US" w:eastAsia="zh-CN"/>
              </w:rPr>
              <w:t>3</w:t>
            </w:r>
            <w:r>
              <w:rPr>
                <w:rFonts w:hint="eastAsia" w:ascii="宋体" w:hAnsi="宋体" w:eastAsia="宋体" w:cs="宋体"/>
                <w:sz w:val="24"/>
                <w:szCs w:val="24"/>
              </w:rPr>
              <w:t>分，直到扣完为止。未提供不得分。</w:t>
            </w:r>
          </w:p>
          <w:p w14:paraId="2C1EA43E">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181F64D2">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提供设计方案</w:t>
            </w:r>
          </w:p>
        </w:tc>
      </w:tr>
      <w:tr w14:paraId="7FC9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vMerge w:val="continue"/>
            <w:noWrap/>
            <w:vAlign w:val="center"/>
          </w:tcPr>
          <w:p w14:paraId="30F9F6F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vMerge w:val="continue"/>
            <w:noWrap/>
            <w:vAlign w:val="center"/>
          </w:tcPr>
          <w:p w14:paraId="2F5AD60C">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noWrap/>
            <w:vAlign w:val="center"/>
          </w:tcPr>
          <w:p w14:paraId="2EACD9D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重点.亮点营造和表现</w:t>
            </w:r>
          </w:p>
          <w:p w14:paraId="589D4ABC">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6分</w:t>
            </w:r>
          </w:p>
        </w:tc>
        <w:tc>
          <w:tcPr>
            <w:tcW w:w="5625" w:type="dxa"/>
            <w:noWrap/>
            <w:vAlign w:val="center"/>
          </w:tcPr>
          <w:p w14:paraId="43EAF339">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1、重点突出有新意且视觉新颖、造型独特，有很强的参与性； </w:t>
            </w:r>
          </w:p>
          <w:p w14:paraId="1B2BB832">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2、结合本项目服务要求有创意；</w:t>
            </w:r>
          </w:p>
          <w:p w14:paraId="285AB287">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完全满足要求内容丰富且符合项目实际情况得6分，每有一项缺漏或描述不完整或不满足实际情况的扣 3 分，直到扣完为止。未提供不得分。</w:t>
            </w:r>
          </w:p>
          <w:p w14:paraId="15418873">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13E110C9">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提供设计方案</w:t>
            </w:r>
          </w:p>
        </w:tc>
      </w:tr>
      <w:tr w14:paraId="40C9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vMerge w:val="continue"/>
            <w:noWrap/>
            <w:vAlign w:val="center"/>
          </w:tcPr>
          <w:p w14:paraId="14C743F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vMerge w:val="continue"/>
            <w:noWrap/>
            <w:vAlign w:val="center"/>
          </w:tcPr>
          <w:p w14:paraId="61EA8974">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p>
        </w:tc>
        <w:tc>
          <w:tcPr>
            <w:tcW w:w="1125" w:type="dxa"/>
            <w:noWrap/>
            <w:vAlign w:val="center"/>
          </w:tcPr>
          <w:p w14:paraId="142851F2">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艺术设计</w:t>
            </w:r>
            <w:r>
              <w:rPr>
                <w:rFonts w:hint="eastAsia" w:ascii="宋体" w:hAnsi="宋体" w:eastAsia="宋体" w:cs="宋体"/>
                <w:sz w:val="24"/>
                <w:szCs w:val="24"/>
                <w:lang w:val="en-US" w:eastAsia="zh-CN"/>
              </w:rPr>
              <w:t>9</w:t>
            </w:r>
            <w:r>
              <w:rPr>
                <w:rFonts w:hint="eastAsia" w:ascii="宋体" w:hAnsi="宋体" w:eastAsia="宋体" w:cs="宋体"/>
                <w:sz w:val="24"/>
                <w:szCs w:val="24"/>
              </w:rPr>
              <w:t>分</w:t>
            </w:r>
          </w:p>
        </w:tc>
        <w:tc>
          <w:tcPr>
            <w:tcW w:w="5625" w:type="dxa"/>
            <w:noWrap/>
            <w:vAlign w:val="center"/>
          </w:tcPr>
          <w:p w14:paraId="0FE1323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1、艺术构思立意精准，布局合理</w:t>
            </w:r>
            <w:r>
              <w:rPr>
                <w:rFonts w:hint="eastAsia" w:ascii="宋体" w:hAnsi="宋体" w:eastAsia="宋体" w:cs="宋体"/>
                <w:sz w:val="24"/>
                <w:szCs w:val="24"/>
                <w:lang w:eastAsia="zh-CN"/>
              </w:rPr>
              <w:t>。</w:t>
            </w:r>
          </w:p>
          <w:p w14:paraId="44503A7F">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2、实时特征明显，制作工艺精细，艺术感染力强。</w:t>
            </w:r>
          </w:p>
          <w:p w14:paraId="351C3457">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3、贴近社会，贴近生活，贴近</w:t>
            </w:r>
            <w:r>
              <w:rPr>
                <w:rFonts w:hint="eastAsia" w:ascii="宋体" w:hAnsi="宋体" w:eastAsia="宋体" w:cs="宋体"/>
                <w:sz w:val="24"/>
                <w:szCs w:val="24"/>
                <w:lang w:val="en-US" w:eastAsia="zh-CN"/>
              </w:rPr>
              <w:t>受众。</w:t>
            </w:r>
          </w:p>
          <w:p w14:paraId="394B3CEB">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分，每有一项缺漏或描述不完整或不满足实际情况的扣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分，直到扣完为止。未提供不得分。</w:t>
            </w:r>
          </w:p>
          <w:p w14:paraId="6DF67A79">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5850F779">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提供设计方案</w:t>
            </w:r>
          </w:p>
        </w:tc>
      </w:tr>
      <w:tr w14:paraId="5E96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442443AF">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1125" w:type="dxa"/>
            <w:noWrap/>
            <w:vAlign w:val="center"/>
          </w:tcPr>
          <w:p w14:paraId="3159D5AC">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施工方案</w:t>
            </w:r>
            <w:r>
              <w:rPr>
                <w:rFonts w:hint="eastAsia" w:ascii="宋体" w:hAnsi="宋体" w:eastAsia="宋体" w:cs="宋体"/>
                <w:sz w:val="24"/>
                <w:szCs w:val="24"/>
                <w:lang w:val="en-US" w:eastAsia="zh-CN"/>
              </w:rPr>
              <w:t>6</w:t>
            </w:r>
            <w:r>
              <w:rPr>
                <w:rFonts w:hint="eastAsia" w:ascii="宋体" w:hAnsi="宋体" w:eastAsia="宋体" w:cs="宋体"/>
                <w:sz w:val="24"/>
                <w:szCs w:val="24"/>
              </w:rPr>
              <w:t>%</w:t>
            </w:r>
          </w:p>
        </w:tc>
        <w:tc>
          <w:tcPr>
            <w:tcW w:w="1125" w:type="dxa"/>
            <w:noWrap/>
            <w:vAlign w:val="center"/>
          </w:tcPr>
          <w:p w14:paraId="7562F7A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分</w:t>
            </w:r>
          </w:p>
        </w:tc>
        <w:tc>
          <w:tcPr>
            <w:tcW w:w="5625" w:type="dxa"/>
            <w:noWrap/>
            <w:vAlign w:val="center"/>
          </w:tcPr>
          <w:p w14:paraId="1EC9FA4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供应商应针对本项目提供实施方案进行综合评审，实施方案，内容包括: 1.进度计划：根据供应商针对本项目提供的项目进度计划与措施，包括但不限于①项目进度计划(含计划开、竣工日期和施工进度网络图)、②项目工期保证措施、③劳动力配备及管理措施、④施工进度动态管理机制；</w:t>
            </w:r>
          </w:p>
          <w:p w14:paraId="4C3BA5D1">
            <w:pPr>
              <w:pStyle w:val="2"/>
              <w:keepNext w:val="0"/>
              <w:keepLines w:val="0"/>
              <w:pageBreakBefore w:val="0"/>
              <w:kinsoku/>
              <w:overflowPunct/>
              <w:topLinePunct w:val="0"/>
              <w:autoSpaceDE/>
              <w:autoSpaceDN/>
              <w:bidi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.施工工艺内容：根据供应商针对本项目提供的施工工艺内容括但不限于①施工总平面布置保障、②施工作业顺序、③分部分项施工技术措施、④施工场地水电布置保障。</w:t>
            </w:r>
          </w:p>
          <w:p w14:paraId="3D7EFCF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w:t>
            </w:r>
            <w:r>
              <w:rPr>
                <w:rFonts w:hint="eastAsia" w:ascii="宋体" w:hAnsi="宋体" w:eastAsia="宋体" w:cs="宋体"/>
                <w:sz w:val="24"/>
                <w:szCs w:val="24"/>
                <w:lang w:val="en-US" w:eastAsia="zh-CN"/>
              </w:rPr>
              <w:t>6</w:t>
            </w:r>
            <w:r>
              <w:rPr>
                <w:rFonts w:hint="eastAsia" w:ascii="宋体" w:hAnsi="宋体" w:eastAsia="宋体" w:cs="宋体"/>
                <w:sz w:val="24"/>
                <w:szCs w:val="24"/>
              </w:rPr>
              <w:t>分，每有一项缺漏或描述不完整或不满足实际情况的扣</w:t>
            </w:r>
            <w:r>
              <w:rPr>
                <w:rFonts w:hint="eastAsia" w:ascii="宋体" w:hAnsi="宋体" w:eastAsia="宋体" w:cs="宋体"/>
                <w:sz w:val="24"/>
                <w:szCs w:val="24"/>
                <w:lang w:val="en-US" w:eastAsia="zh-CN"/>
              </w:rPr>
              <w:t>2</w:t>
            </w:r>
            <w:r>
              <w:rPr>
                <w:rFonts w:hint="eastAsia" w:ascii="宋体" w:hAnsi="宋体" w:eastAsia="宋体" w:cs="宋体"/>
                <w:sz w:val="24"/>
                <w:szCs w:val="24"/>
              </w:rPr>
              <w:t>分，直到扣完为止。未提供不得分。</w:t>
            </w:r>
          </w:p>
          <w:p w14:paraId="37CB21C9">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3F462189">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技术类评审因素</w:t>
            </w:r>
          </w:p>
        </w:tc>
      </w:tr>
      <w:tr w14:paraId="2AD6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665D26F3">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1125" w:type="dxa"/>
            <w:noWrap/>
            <w:vAlign w:val="center"/>
          </w:tcPr>
          <w:p w14:paraId="2BE4E090">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售后服务方案</w:t>
            </w:r>
            <w:r>
              <w:rPr>
                <w:rFonts w:hint="eastAsia" w:ascii="宋体" w:hAnsi="宋体" w:eastAsia="宋体" w:cs="宋体"/>
                <w:sz w:val="24"/>
                <w:szCs w:val="24"/>
                <w:lang w:val="en-US" w:eastAsia="zh-CN"/>
              </w:rPr>
              <w:t>10</w:t>
            </w:r>
            <w:r>
              <w:rPr>
                <w:rFonts w:hint="eastAsia" w:ascii="宋体" w:hAnsi="宋体" w:eastAsia="宋体" w:cs="宋体"/>
                <w:sz w:val="24"/>
                <w:szCs w:val="24"/>
              </w:rPr>
              <w:t>%</w:t>
            </w:r>
          </w:p>
        </w:tc>
        <w:tc>
          <w:tcPr>
            <w:tcW w:w="1125" w:type="dxa"/>
            <w:noWrap/>
            <w:vAlign w:val="center"/>
          </w:tcPr>
          <w:p w14:paraId="53C3CC3B">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5625" w:type="dxa"/>
            <w:noWrap/>
            <w:vAlign w:val="center"/>
          </w:tcPr>
          <w:p w14:paraId="4D0037B4">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供应商提供项目售后服务方案，内容包括: ①售后响应时间；②售后问题解决措施；③质量保证措施；④后期服务负责人员配置</w:t>
            </w:r>
            <w:r>
              <w:rPr>
                <w:rFonts w:hint="eastAsia" w:ascii="宋体" w:hAnsi="宋体" w:eastAsia="宋体" w:cs="宋体"/>
                <w:sz w:val="24"/>
                <w:szCs w:val="24"/>
                <w:lang w:eastAsia="zh-CN"/>
              </w:rPr>
              <w:t>。</w:t>
            </w:r>
          </w:p>
          <w:p w14:paraId="3ED03C8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方案具备以上全部内容且内容详细可行、具有针对性、完全满足采购人需求得</w:t>
            </w:r>
            <w:r>
              <w:rPr>
                <w:rFonts w:hint="eastAsia" w:ascii="宋体" w:hAnsi="宋体" w:eastAsia="宋体" w:cs="宋体"/>
                <w:sz w:val="24"/>
                <w:szCs w:val="24"/>
                <w:lang w:val="en-US" w:eastAsia="zh-CN"/>
              </w:rPr>
              <w:t>10</w:t>
            </w:r>
            <w:r>
              <w:rPr>
                <w:rFonts w:hint="eastAsia" w:ascii="宋体" w:hAnsi="宋体" w:eastAsia="宋体" w:cs="宋体"/>
                <w:sz w:val="24"/>
                <w:szCs w:val="24"/>
              </w:rPr>
              <w:t>分，若方案内容不完善或描述简单、无针对性或不能满足采购人需求、缺少一项或存在其他不足之处的，每有一处扣</w:t>
            </w:r>
            <w:r>
              <w:rPr>
                <w:rFonts w:hint="eastAsia" w:ascii="宋体" w:hAnsi="宋体" w:eastAsia="宋体" w:cs="宋体"/>
                <w:sz w:val="24"/>
                <w:szCs w:val="24"/>
                <w:lang w:val="en-US" w:eastAsia="zh-CN"/>
              </w:rPr>
              <w:t>2</w:t>
            </w:r>
            <w:r>
              <w:rPr>
                <w:rFonts w:hint="eastAsia" w:ascii="宋体" w:hAnsi="宋体" w:eastAsia="宋体" w:cs="宋体"/>
                <w:sz w:val="24"/>
                <w:szCs w:val="24"/>
              </w:rPr>
              <w:t>分，扣完为止。</w:t>
            </w:r>
            <w:r>
              <w:rPr>
                <w:rFonts w:hint="eastAsia" w:ascii="宋体" w:hAnsi="宋体" w:eastAsia="宋体" w:cs="宋体"/>
                <w:sz w:val="24"/>
                <w:szCs w:val="24"/>
              </w:rPr>
              <w:br w:type="textWrapping"/>
            </w:r>
            <w:r>
              <w:rPr>
                <w:rFonts w:hint="eastAsia" w:ascii="宋体" w:hAnsi="宋体" w:eastAsia="宋体" w:cs="宋体"/>
                <w:sz w:val="24"/>
                <w:szCs w:val="24"/>
              </w:rPr>
              <w:t>注：其他不足之处是指内容套用或错用、照搬照抄、凭空编造、科学原理错误以及不可能实现的夸大情形等。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06B994B1">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技术类评审因素</w:t>
            </w:r>
          </w:p>
        </w:tc>
      </w:tr>
      <w:tr w14:paraId="7CCE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6EE9BE6E">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125" w:type="dxa"/>
            <w:noWrap/>
            <w:vAlign w:val="center"/>
          </w:tcPr>
          <w:p w14:paraId="7AF9A541">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安全应急预案</w:t>
            </w:r>
            <w:r>
              <w:rPr>
                <w:rFonts w:hint="eastAsia" w:ascii="宋体" w:hAnsi="宋体" w:eastAsia="宋体" w:cs="宋体"/>
                <w:sz w:val="24"/>
                <w:szCs w:val="24"/>
                <w:lang w:val="en-US" w:eastAsia="zh-CN"/>
              </w:rPr>
              <w:t>10</w:t>
            </w:r>
            <w:r>
              <w:rPr>
                <w:rFonts w:hint="eastAsia" w:ascii="宋体" w:hAnsi="宋体" w:eastAsia="宋体" w:cs="宋体"/>
                <w:sz w:val="24"/>
                <w:szCs w:val="24"/>
              </w:rPr>
              <w:t>%</w:t>
            </w:r>
          </w:p>
        </w:tc>
        <w:tc>
          <w:tcPr>
            <w:tcW w:w="1125" w:type="dxa"/>
            <w:noWrap/>
            <w:vAlign w:val="center"/>
          </w:tcPr>
          <w:p w14:paraId="65A6B633">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5625" w:type="dxa"/>
            <w:noWrap/>
            <w:vAlign w:val="top"/>
          </w:tcPr>
          <w:p w14:paraId="5428F848">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供应商提供安全应急预案，内容包括: ①现场可能出现的紧急情况分析； ②安装后可能出现的紧急情况分析；③应急组织结构和管理办法； ④应急保障； ⑤应急响应时效与应急响应管理。</w:t>
            </w:r>
          </w:p>
          <w:p w14:paraId="31C56708">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方案具备以上全部内容且内容详细可行、具有针对性、完全满足采购人需求得</w:t>
            </w:r>
            <w:r>
              <w:rPr>
                <w:rFonts w:hint="eastAsia" w:ascii="宋体" w:hAnsi="宋体" w:eastAsia="宋体" w:cs="宋体"/>
                <w:sz w:val="24"/>
                <w:szCs w:val="24"/>
                <w:lang w:val="en-US" w:eastAsia="zh-CN"/>
              </w:rPr>
              <w:t>10</w:t>
            </w:r>
            <w:r>
              <w:rPr>
                <w:rFonts w:hint="eastAsia" w:ascii="宋体" w:hAnsi="宋体" w:eastAsia="宋体" w:cs="宋体"/>
                <w:sz w:val="24"/>
                <w:szCs w:val="24"/>
              </w:rPr>
              <w:t>分，若方案内容不完善或描述简单、无针对性或不能满足采购人需求、缺少一项或存在其他不足之处的，每有一处扣</w:t>
            </w:r>
            <w:r>
              <w:rPr>
                <w:rFonts w:hint="eastAsia" w:ascii="宋体" w:hAnsi="宋体" w:eastAsia="宋体" w:cs="宋体"/>
                <w:sz w:val="24"/>
                <w:szCs w:val="24"/>
                <w:lang w:val="en-US" w:eastAsia="zh-CN"/>
              </w:rPr>
              <w:t>2</w:t>
            </w:r>
            <w:r>
              <w:rPr>
                <w:rFonts w:hint="eastAsia" w:ascii="宋体" w:hAnsi="宋体" w:eastAsia="宋体" w:cs="宋体"/>
                <w:sz w:val="24"/>
                <w:szCs w:val="24"/>
              </w:rPr>
              <w:t>分，扣完为止。</w:t>
            </w:r>
            <w:r>
              <w:rPr>
                <w:rFonts w:hint="eastAsia" w:ascii="宋体" w:hAnsi="宋体" w:eastAsia="宋体" w:cs="宋体"/>
                <w:sz w:val="24"/>
                <w:szCs w:val="24"/>
              </w:rPr>
              <w:br w:type="textWrapping"/>
            </w:r>
            <w:r>
              <w:rPr>
                <w:rFonts w:hint="eastAsia" w:ascii="宋体" w:hAnsi="宋体" w:eastAsia="宋体" w:cs="宋体"/>
                <w:sz w:val="24"/>
                <w:szCs w:val="24"/>
              </w:rPr>
              <w:t>注：其他不足之处是指内容套用或错用、照搬照抄、凭空编造、科学原理错误以及不可能实现的夸大情形等。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081F74ED">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技术类评审因素</w:t>
            </w:r>
          </w:p>
        </w:tc>
      </w:tr>
      <w:tr w14:paraId="03F0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1AC6844C">
            <w:pPr>
              <w:keepNext w:val="0"/>
              <w:keepLines w:val="0"/>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125" w:type="dxa"/>
            <w:noWrap/>
            <w:vAlign w:val="center"/>
          </w:tcPr>
          <w:p w14:paraId="605CC0E7">
            <w:pPr>
              <w:keepNext w:val="0"/>
              <w:keepLines w:val="0"/>
              <w:pageBreakBefore w:val="0"/>
              <w:widowControl/>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节能、环境标志</w:t>
            </w:r>
            <w:r>
              <w:rPr>
                <w:rFonts w:hint="eastAsia" w:ascii="宋体" w:hAnsi="宋体" w:eastAsia="宋体" w:cs="宋体"/>
                <w:sz w:val="24"/>
                <w:szCs w:val="24"/>
                <w:lang w:val="en-US" w:eastAsia="zh-CN"/>
              </w:rPr>
              <w:t>2%</w:t>
            </w:r>
          </w:p>
        </w:tc>
        <w:tc>
          <w:tcPr>
            <w:tcW w:w="1125" w:type="dxa"/>
            <w:noWrap/>
            <w:vAlign w:val="center"/>
          </w:tcPr>
          <w:p w14:paraId="6C5151B9">
            <w:pPr>
              <w:keepNext w:val="0"/>
              <w:keepLines w:val="0"/>
              <w:pageBreakBefore w:val="0"/>
              <w:kinsoku/>
              <w:wordWrap w:val="0"/>
              <w:overflowPunct/>
              <w:topLinePunct w:val="0"/>
              <w:autoSpaceDE/>
              <w:autoSpaceDN/>
              <w:bidi w:val="0"/>
              <w:adjustRightInd w:val="0"/>
              <w:snapToGrid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c>
          <w:tcPr>
            <w:tcW w:w="5625" w:type="dxa"/>
            <w:noWrap/>
            <w:vAlign w:val="center"/>
          </w:tcPr>
          <w:p w14:paraId="2C35F26D">
            <w:pPr>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投标产品中，每有一项认定为优先采购节能产品或者政府采购环境标志产品的得</w:t>
            </w:r>
            <w:r>
              <w:rPr>
                <w:rFonts w:hint="eastAsia" w:ascii="宋体" w:hAnsi="宋体" w:eastAsia="宋体" w:cs="宋体"/>
                <w:sz w:val="24"/>
                <w:szCs w:val="24"/>
                <w:lang w:val="en-US" w:eastAsia="zh-CN"/>
              </w:rPr>
              <w:t>1</w:t>
            </w:r>
            <w:r>
              <w:rPr>
                <w:rFonts w:hint="eastAsia" w:ascii="宋体" w:hAnsi="宋体" w:eastAsia="宋体" w:cs="宋体"/>
                <w:sz w:val="24"/>
                <w:szCs w:val="24"/>
              </w:rPr>
              <w:t>分，最多得</w:t>
            </w:r>
            <w:r>
              <w:rPr>
                <w:rFonts w:hint="eastAsia" w:ascii="宋体" w:hAnsi="宋体" w:eastAsia="宋体" w:cs="宋体"/>
                <w:sz w:val="24"/>
                <w:szCs w:val="24"/>
                <w:lang w:val="en-US" w:eastAsia="zh-CN"/>
              </w:rPr>
              <w:t>2</w:t>
            </w:r>
            <w:r>
              <w:rPr>
                <w:rFonts w:hint="eastAsia" w:ascii="宋体" w:hAnsi="宋体" w:eastAsia="宋体" w:cs="宋体"/>
                <w:sz w:val="24"/>
                <w:szCs w:val="24"/>
              </w:rPr>
              <w:t>分。非政府采购节能、环境标志产品的、无线局域网认证产品的不得分。</w:t>
            </w:r>
          </w:p>
          <w:p w14:paraId="5B7A76DA">
            <w:pPr>
              <w:keepNext w:val="0"/>
              <w:keepLines w:val="0"/>
              <w:pageBreakBefore w:val="0"/>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注：优先采购节能产品或政府采购环境标志产品属于品目清单范围的，投标人应提供依据国家确定的认证机构出具的、处于有效期之内的节能产品或政府采购环境标志产品认证证书，并加盖投标人公章。</w:t>
            </w:r>
          </w:p>
        </w:tc>
        <w:tc>
          <w:tcPr>
            <w:tcW w:w="943" w:type="dxa"/>
            <w:noWrap/>
            <w:vAlign w:val="center"/>
          </w:tcPr>
          <w:p w14:paraId="0104F77B">
            <w:pPr>
              <w:keepNext w:val="0"/>
              <w:keepLines w:val="0"/>
              <w:pageBreakBefore w:val="0"/>
              <w:kinsoku/>
              <w:wordWrap w:val="0"/>
              <w:overflowPunct/>
              <w:topLinePunct w:val="0"/>
              <w:autoSpaceDE/>
              <w:autoSpaceDN/>
              <w:bidi w:val="0"/>
              <w:adjustRightInd w:val="0"/>
              <w:snapToGrid w:val="0"/>
              <w:spacing w:line="360" w:lineRule="auto"/>
              <w:ind w:left="-38"/>
              <w:textAlignment w:val="auto"/>
              <w:rPr>
                <w:rFonts w:hint="eastAsia" w:ascii="宋体" w:hAnsi="宋体" w:eastAsia="宋体" w:cs="宋体"/>
                <w:sz w:val="24"/>
                <w:szCs w:val="24"/>
              </w:rPr>
            </w:pPr>
            <w:r>
              <w:rPr>
                <w:rFonts w:hint="eastAsia" w:ascii="宋体" w:hAnsi="宋体" w:eastAsia="宋体" w:cs="宋体"/>
                <w:sz w:val="24"/>
                <w:szCs w:val="24"/>
              </w:rPr>
              <w:t>共同评分因素</w:t>
            </w:r>
          </w:p>
        </w:tc>
      </w:tr>
    </w:tbl>
    <w:p w14:paraId="363A5F1D">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p>
    <w:p w14:paraId="6CB87DED">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br w:type="page"/>
      </w:r>
    </w:p>
    <w:p w14:paraId="4710CD38">
      <w:pPr>
        <w:keepNext w:val="0"/>
        <w:keepLines w:val="0"/>
        <w:pageBreakBefore w:val="0"/>
        <w:widowControl/>
        <w:kinsoku/>
        <w:overflowPunct/>
        <w:topLinePunct w:val="0"/>
        <w:autoSpaceDE/>
        <w:autoSpaceDN/>
        <w:bidi w:val="0"/>
        <w:spacing w:after="160" w:line="360" w:lineRule="auto"/>
        <w:jc w:val="center"/>
        <w:textAlignment w:val="auto"/>
        <w:outlineLvl w:val="2"/>
        <w:rPr>
          <w:rFonts w:hint="eastAsia" w:ascii="宋体" w:hAnsi="宋体" w:eastAsia="宋体" w:cs="宋体"/>
          <w:b/>
          <w:sz w:val="24"/>
          <w:szCs w:val="24"/>
        </w:rPr>
      </w:pPr>
      <w:r>
        <w:rPr>
          <w:rFonts w:hint="eastAsia" w:ascii="宋体" w:hAnsi="宋体" w:eastAsia="宋体" w:cs="宋体"/>
          <w:b/>
          <w:sz w:val="24"/>
          <w:szCs w:val="24"/>
        </w:rPr>
        <w:t>联合体协议（如涉及）</w:t>
      </w:r>
    </w:p>
    <w:p w14:paraId="567D85A4">
      <w:pPr>
        <w:keepNext w:val="0"/>
        <w:keepLines w:val="0"/>
        <w:pageBreakBefore w:val="0"/>
        <w:kinsoku/>
        <w:overflowPunct/>
        <w:topLinePunct w:val="0"/>
        <w:autoSpaceDE/>
        <w:autoSpaceDN/>
        <w:bidi w:val="0"/>
        <w:spacing w:after="160" w:line="36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（本格式仅供参考）</w:t>
      </w:r>
    </w:p>
    <w:p w14:paraId="331AB61E">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(供应商甲名称)_______________、(供应商乙名称)_______________自愿组成联合体，参加</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项目（采购编号：         ）</w:t>
      </w:r>
      <w:r>
        <w:rPr>
          <w:rFonts w:hint="eastAsia" w:ascii="宋体" w:hAnsi="宋体" w:eastAsia="宋体" w:cs="宋体"/>
          <w:sz w:val="24"/>
          <w:szCs w:val="24"/>
        </w:rPr>
        <w:t>的采购活动。现就有关事宜订立协议如下：</w:t>
      </w:r>
    </w:p>
    <w:p w14:paraId="00DFFE6E">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sz w:val="24"/>
          <w:szCs w:val="24"/>
          <w:u w:val="single"/>
        </w:rPr>
        <w:t xml:space="preserve"> (供应商甲名称)    </w:t>
      </w:r>
      <w:r>
        <w:rPr>
          <w:rFonts w:hint="eastAsia" w:ascii="宋体" w:hAnsi="宋体" w:eastAsia="宋体" w:cs="宋体"/>
          <w:sz w:val="24"/>
          <w:szCs w:val="24"/>
        </w:rPr>
        <w:t>为联合体牵头方，</w:t>
      </w:r>
      <w:r>
        <w:rPr>
          <w:rFonts w:hint="eastAsia" w:ascii="宋体" w:hAnsi="宋体" w:eastAsia="宋体" w:cs="宋体"/>
          <w:sz w:val="24"/>
          <w:szCs w:val="24"/>
          <w:u w:val="single"/>
        </w:rPr>
        <w:t xml:space="preserve">(供应商乙名称)   </w:t>
      </w:r>
      <w:r>
        <w:rPr>
          <w:rFonts w:hint="eastAsia" w:ascii="宋体" w:hAnsi="宋体" w:eastAsia="宋体" w:cs="宋体"/>
          <w:sz w:val="24"/>
          <w:szCs w:val="24"/>
        </w:rPr>
        <w:t xml:space="preserve"> 为联合体成员;</w:t>
      </w:r>
    </w:p>
    <w:p w14:paraId="311A78B4">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2.联合体内部有关事项规定如下：</w:t>
      </w:r>
    </w:p>
    <w:p w14:paraId="48DAB6A2">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(1)联合体由牵头方负责与采购人联系。</w:t>
      </w:r>
    </w:p>
    <w:p w14:paraId="0A9E1068">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(2)采购活动工作由联合体牵头方负责，由双方组成的工作小组具体实施;联合体牵头方代表联合体办理本项目投标事宜。</w:t>
      </w:r>
    </w:p>
    <w:p w14:paraId="20767DA8">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(3)联合体将严格按照招标文件的各项要求，递交投标文件，切实执行一切合同文件，共同承担合同规定的一切义务和责任，在法律上承担连带责任。</w:t>
      </w:r>
    </w:p>
    <w:p w14:paraId="5C154215">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 xml:space="preserve"> (4)如成为中标供应商，联合体内部将遵守以下规定：</w:t>
      </w:r>
    </w:p>
    <w:p w14:paraId="1F6575F1">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a.联合体牵头方和成员共同与采购人签订合同并履行合同，且就中标项目向采购人承担连带责任;</w:t>
      </w:r>
    </w:p>
    <w:p w14:paraId="5AFA2213">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b.联合体牵头方合法代表联合体各成员负责本项目投标文件编制和采购活动，并代表联合体提交和接收相关的资料、信息及指示，并处理与之有关的一切事物，负责合同实施阶段的主办、组织和协调工作；</w:t>
      </w:r>
    </w:p>
    <w:p w14:paraId="0A3E598B">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u w:val="single"/>
        </w:rPr>
      </w:pPr>
      <w:r>
        <w:rPr>
          <w:rFonts w:hint="eastAsia" w:ascii="宋体" w:hAnsi="宋体" w:eastAsia="宋体" w:cs="宋体"/>
          <w:sz w:val="24"/>
          <w:szCs w:val="24"/>
        </w:rPr>
        <w:t>c.联合体各成员单位内部的职责分工如下：</w:t>
      </w:r>
      <w:r>
        <w:rPr>
          <w:rFonts w:hint="eastAsia" w:ascii="宋体" w:hAnsi="宋体" w:eastAsia="宋体" w:cs="宋体"/>
          <w:sz w:val="24"/>
          <w:szCs w:val="24"/>
          <w:u w:val="single"/>
        </w:rPr>
        <w:t xml:space="preserve">                           </w:t>
      </w:r>
    </w:p>
    <w:p w14:paraId="6AD0B2B0">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2CD9252">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A786E03">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3.本协议书自联合体各方签字、盖章之日起生效，合同履行完毕后自动失效。</w:t>
      </w:r>
    </w:p>
    <w:p w14:paraId="596B321F">
      <w:pPr>
        <w:keepNext w:val="0"/>
        <w:keepLines w:val="0"/>
        <w:pageBreakBefore w:val="0"/>
        <w:kinsoku/>
        <w:overflowPunct/>
        <w:topLinePunct w:val="0"/>
        <w:autoSpaceDE/>
        <w:autoSpaceDN/>
        <w:bidi w:val="0"/>
        <w:spacing w:after="150" w:line="360" w:lineRule="auto"/>
        <w:textAlignment w:val="auto"/>
        <w:rPr>
          <w:rFonts w:hint="eastAsia" w:ascii="宋体" w:hAnsi="宋体" w:eastAsia="宋体" w:cs="宋体"/>
          <w:sz w:val="24"/>
          <w:szCs w:val="24"/>
        </w:rPr>
      </w:pPr>
    </w:p>
    <w:p w14:paraId="4594D150">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牵头方名称：</w:t>
      </w:r>
      <w:r>
        <w:rPr>
          <w:rFonts w:hint="eastAsia" w:ascii="宋体" w:hAnsi="宋体" w:eastAsia="宋体" w:cs="宋体"/>
          <w:sz w:val="24"/>
          <w:szCs w:val="24"/>
          <w:u w:val="single"/>
        </w:rPr>
        <w:t xml:space="preserve">                      </w:t>
      </w:r>
      <w:r>
        <w:rPr>
          <w:rFonts w:hint="eastAsia" w:ascii="宋体" w:hAnsi="宋体" w:eastAsia="宋体" w:cs="宋体"/>
          <w:sz w:val="24"/>
          <w:szCs w:val="24"/>
        </w:rPr>
        <w:t>（盖单位章）</w:t>
      </w:r>
    </w:p>
    <w:p w14:paraId="0A2A28CA">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14:paraId="6EEEFE2E">
      <w:pPr>
        <w:keepNext w:val="0"/>
        <w:keepLines w:val="0"/>
        <w:pageBreakBefore w:val="0"/>
        <w:kinsoku/>
        <w:overflowPunct/>
        <w:topLinePunct w:val="0"/>
        <w:autoSpaceDE/>
        <w:autoSpaceDN/>
        <w:bidi w:val="0"/>
        <w:spacing w:before="156" w:beforeLines="50" w:after="156" w:afterLines="50" w:line="360" w:lineRule="auto"/>
        <w:ind w:right="600"/>
        <w:textAlignment w:val="auto"/>
        <w:rPr>
          <w:rFonts w:hint="eastAsia" w:ascii="宋体" w:hAnsi="宋体" w:eastAsia="宋体" w:cs="宋体"/>
          <w:sz w:val="24"/>
          <w:szCs w:val="24"/>
        </w:rPr>
      </w:pPr>
    </w:p>
    <w:p w14:paraId="40E93519">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联合体成员名称：</w:t>
      </w:r>
      <w:r>
        <w:rPr>
          <w:rFonts w:hint="eastAsia" w:ascii="宋体" w:hAnsi="宋体" w:eastAsia="宋体" w:cs="宋体"/>
          <w:sz w:val="24"/>
          <w:szCs w:val="24"/>
          <w:u w:val="single"/>
        </w:rPr>
        <w:t xml:space="preserve">                   </w:t>
      </w:r>
      <w:r>
        <w:rPr>
          <w:rFonts w:hint="eastAsia" w:ascii="宋体" w:hAnsi="宋体" w:eastAsia="宋体" w:cs="宋体"/>
          <w:sz w:val="24"/>
          <w:szCs w:val="24"/>
        </w:rPr>
        <w:t>（盖单位章）</w:t>
      </w:r>
    </w:p>
    <w:p w14:paraId="1CB00F89">
      <w:pPr>
        <w:pStyle w:val="11"/>
        <w:keepNext w:val="0"/>
        <w:keepLines w:val="0"/>
        <w:pageBreakBefore w:val="0"/>
        <w:kinsoku/>
        <w:overflowPunct/>
        <w:topLinePunct w:val="0"/>
        <w:autoSpaceDE/>
        <w:autoSpaceDN/>
        <w:bidi w:val="0"/>
        <w:adjustRightInd w:val="0"/>
        <w:snapToGrid w:val="0"/>
        <w:spacing w:before="80" w:after="80"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法定代表人：                      （签字）</w:t>
      </w:r>
    </w:p>
    <w:p w14:paraId="09E9E119">
      <w:pPr>
        <w:keepNext w:val="0"/>
        <w:keepLines w:val="0"/>
        <w:pageBreakBefore w:val="0"/>
        <w:widowControl/>
        <w:kinsoku/>
        <w:overflowPunct/>
        <w:topLinePunct w:val="0"/>
        <w:autoSpaceDE/>
        <w:autoSpaceDN/>
        <w:bidi w:val="0"/>
        <w:spacing w:after="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14:paraId="2CFFAC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b/>
          <w:bCs/>
          <w:i w:val="0"/>
          <w:iCs w:val="0"/>
          <w:caps w:val="0"/>
          <w:spacing w:val="0"/>
          <w:kern w:val="0"/>
          <w:sz w:val="24"/>
          <w:szCs w:val="24"/>
          <w:shd w:val="clear" w:fill="FFFFFF"/>
          <w:lang w:val="en-US" w:eastAsia="zh-CN" w:bidi="ar"/>
        </w:rPr>
        <w:t>附件2：法定代表人身份授权书</w:t>
      </w:r>
    </w:p>
    <w:p w14:paraId="432ABEA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（采购单位名称）：</w:t>
      </w:r>
    </w:p>
    <w:p w14:paraId="6F63070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本授权声明：（投标人名称）</w:t>
      </w:r>
    </w:p>
    <w:p w14:paraId="62B5795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（法定代表人姓名、职务）授权（被授权人姓名、职务）为我方“”项目采购活动的合法代表，以我方名义全权处理该项目有关采购、签订合同以及执行合同等一切事宜。</w:t>
      </w:r>
    </w:p>
    <w:p w14:paraId="391141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特此声明。</w:t>
      </w:r>
    </w:p>
    <w:p w14:paraId="7069EF1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授权代表签字：</w:t>
      </w:r>
    </w:p>
    <w:p w14:paraId="7C8506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被授权代表签字：</w:t>
      </w:r>
    </w:p>
    <w:p w14:paraId="4C6E4F7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投标人名称：（加盖公章）</w:t>
      </w:r>
    </w:p>
    <w:p w14:paraId="61329D6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日期：</w:t>
      </w:r>
    </w:p>
    <w:p w14:paraId="2B3330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r>
        <w:rPr>
          <w:rFonts w:hint="eastAsia" w:ascii="宋体" w:hAnsi="宋体" w:eastAsia="宋体" w:cs="宋体"/>
          <w:i w:val="0"/>
          <w:iCs w:val="0"/>
          <w:caps w:val="0"/>
          <w:spacing w:val="0"/>
          <w:kern w:val="0"/>
          <w:sz w:val="24"/>
          <w:szCs w:val="24"/>
          <w:shd w:val="clear" w:fill="FFFFFF"/>
          <w:lang w:val="en-US" w:eastAsia="zh-CN" w:bidi="ar"/>
        </w:rPr>
        <w:t>★说明：上述证明文件附有法定代表人、被授权代表身份证复印件（加盖公章）时才能生效。</w:t>
      </w:r>
    </w:p>
    <w:p w14:paraId="6D1E2B2A">
      <w:pPr>
        <w:pStyle w:val="2"/>
        <w:rPr>
          <w:rFonts w:hint="eastAsia" w:ascii="宋体" w:hAnsi="宋体" w:eastAsia="宋体" w:cs="宋体"/>
          <w:i w:val="0"/>
          <w:iCs w:val="0"/>
          <w:caps w:val="0"/>
          <w:spacing w:val="0"/>
          <w:kern w:val="0"/>
          <w:sz w:val="24"/>
          <w:szCs w:val="24"/>
          <w:shd w:val="clear" w:fill="FFFFFF"/>
          <w:lang w:val="en-US" w:eastAsia="zh-CN" w:bidi="ar"/>
        </w:rPr>
      </w:pPr>
    </w:p>
    <w:p w14:paraId="6D8F66CC">
      <w:pPr>
        <w:pStyle w:val="2"/>
        <w:rPr>
          <w:rFonts w:hint="eastAsia" w:ascii="宋体" w:hAnsi="宋体" w:eastAsia="宋体" w:cs="宋体"/>
          <w:i w:val="0"/>
          <w:iCs w:val="0"/>
          <w:caps w:val="0"/>
          <w:spacing w:val="0"/>
          <w:kern w:val="0"/>
          <w:sz w:val="24"/>
          <w:szCs w:val="24"/>
          <w:shd w:val="clear" w:fill="FFFFFF"/>
          <w:lang w:val="en-US" w:eastAsia="zh-CN" w:bidi="ar"/>
        </w:rPr>
      </w:pPr>
    </w:p>
    <w:p w14:paraId="2D8181A3">
      <w:pPr>
        <w:pStyle w:val="2"/>
        <w:rPr>
          <w:rFonts w:hint="eastAsia" w:ascii="宋体" w:hAnsi="宋体" w:eastAsia="宋体" w:cs="宋体"/>
          <w:i w:val="0"/>
          <w:iCs w:val="0"/>
          <w:caps w:val="0"/>
          <w:spacing w:val="0"/>
          <w:kern w:val="0"/>
          <w:sz w:val="24"/>
          <w:szCs w:val="24"/>
          <w:shd w:val="clear" w:fill="FFFFFF"/>
          <w:lang w:val="en-US" w:eastAsia="zh-CN" w:bidi="ar"/>
        </w:rPr>
      </w:pPr>
    </w:p>
    <w:p w14:paraId="331362E8">
      <w:pPr>
        <w:pStyle w:val="2"/>
        <w:rPr>
          <w:rFonts w:hint="eastAsia" w:ascii="宋体" w:hAnsi="宋体" w:eastAsia="宋体" w:cs="宋体"/>
          <w:i w:val="0"/>
          <w:iCs w:val="0"/>
          <w:caps w:val="0"/>
          <w:spacing w:val="0"/>
          <w:kern w:val="0"/>
          <w:sz w:val="24"/>
          <w:szCs w:val="24"/>
          <w:shd w:val="clear" w:fill="FFFFFF"/>
          <w:lang w:val="en-US" w:eastAsia="zh-CN" w:bidi="ar"/>
        </w:rPr>
      </w:pPr>
    </w:p>
    <w:p w14:paraId="75ACEF15">
      <w:pPr>
        <w:pStyle w:val="2"/>
        <w:rPr>
          <w:rFonts w:hint="eastAsia" w:ascii="宋体" w:hAnsi="宋体" w:eastAsia="宋体" w:cs="宋体"/>
          <w:i w:val="0"/>
          <w:iCs w:val="0"/>
          <w:caps w:val="0"/>
          <w:spacing w:val="0"/>
          <w:kern w:val="0"/>
          <w:sz w:val="24"/>
          <w:szCs w:val="24"/>
          <w:shd w:val="clear" w:fill="FFFFFF"/>
          <w:lang w:val="en-US" w:eastAsia="zh-CN" w:bidi="ar"/>
        </w:rPr>
      </w:pPr>
    </w:p>
    <w:p w14:paraId="78F7F0F2">
      <w:pPr>
        <w:pStyle w:val="2"/>
        <w:rPr>
          <w:rFonts w:hint="eastAsia" w:ascii="宋体" w:hAnsi="宋体" w:eastAsia="宋体" w:cs="宋体"/>
          <w:i w:val="0"/>
          <w:iCs w:val="0"/>
          <w:caps w:val="0"/>
          <w:spacing w:val="0"/>
          <w:kern w:val="0"/>
          <w:sz w:val="24"/>
          <w:szCs w:val="24"/>
          <w:shd w:val="clear" w:fill="FFFFFF"/>
          <w:lang w:val="en-US" w:eastAsia="zh-CN" w:bidi="ar"/>
        </w:rPr>
      </w:pPr>
    </w:p>
    <w:p w14:paraId="151E0D99">
      <w:pPr>
        <w:pStyle w:val="2"/>
        <w:rPr>
          <w:rFonts w:hint="eastAsia" w:ascii="宋体" w:hAnsi="宋体" w:eastAsia="宋体" w:cs="宋体"/>
          <w:i w:val="0"/>
          <w:iCs w:val="0"/>
          <w:caps w:val="0"/>
          <w:spacing w:val="0"/>
          <w:kern w:val="0"/>
          <w:sz w:val="24"/>
          <w:szCs w:val="24"/>
          <w:shd w:val="clear" w:fill="FFFFFF"/>
          <w:lang w:val="en-US" w:eastAsia="zh-CN" w:bidi="ar"/>
        </w:rPr>
      </w:pPr>
    </w:p>
    <w:p w14:paraId="79EE25C7">
      <w:pPr>
        <w:pStyle w:val="2"/>
        <w:rPr>
          <w:rFonts w:hint="eastAsia" w:ascii="宋体" w:hAnsi="宋体" w:eastAsia="宋体" w:cs="宋体"/>
          <w:i w:val="0"/>
          <w:iCs w:val="0"/>
          <w:caps w:val="0"/>
          <w:spacing w:val="0"/>
          <w:kern w:val="0"/>
          <w:sz w:val="24"/>
          <w:szCs w:val="24"/>
          <w:shd w:val="clear" w:fill="FFFFFF"/>
          <w:lang w:val="en-US" w:eastAsia="zh-CN" w:bidi="ar"/>
        </w:rPr>
      </w:pPr>
    </w:p>
    <w:p w14:paraId="6CCCAE01">
      <w:pPr>
        <w:pStyle w:val="2"/>
        <w:rPr>
          <w:rFonts w:hint="eastAsia" w:ascii="宋体" w:hAnsi="宋体" w:eastAsia="宋体" w:cs="宋体"/>
          <w:i w:val="0"/>
          <w:iCs w:val="0"/>
          <w:caps w:val="0"/>
          <w:spacing w:val="0"/>
          <w:kern w:val="0"/>
          <w:sz w:val="24"/>
          <w:szCs w:val="24"/>
          <w:shd w:val="clear" w:fill="FFFFFF"/>
          <w:lang w:val="en-US" w:eastAsia="zh-CN" w:bidi="ar"/>
        </w:rPr>
      </w:pPr>
    </w:p>
    <w:p w14:paraId="0AF090A9">
      <w:pPr>
        <w:pStyle w:val="2"/>
        <w:rPr>
          <w:rFonts w:hint="eastAsia" w:ascii="宋体" w:hAnsi="宋体" w:eastAsia="宋体" w:cs="宋体"/>
          <w:i w:val="0"/>
          <w:iCs w:val="0"/>
          <w:caps w:val="0"/>
          <w:spacing w:val="0"/>
          <w:kern w:val="0"/>
          <w:sz w:val="24"/>
          <w:szCs w:val="24"/>
          <w:shd w:val="clear" w:fill="FFFFFF"/>
          <w:lang w:val="en-US" w:eastAsia="zh-CN" w:bidi="ar"/>
        </w:rPr>
      </w:pPr>
    </w:p>
    <w:p w14:paraId="064125C0">
      <w:pPr>
        <w:pStyle w:val="2"/>
        <w:rPr>
          <w:rFonts w:hint="eastAsia" w:ascii="宋体" w:hAnsi="宋体" w:eastAsia="宋体" w:cs="宋体"/>
          <w:i w:val="0"/>
          <w:iCs w:val="0"/>
          <w:caps w:val="0"/>
          <w:spacing w:val="0"/>
          <w:kern w:val="0"/>
          <w:sz w:val="24"/>
          <w:szCs w:val="24"/>
          <w:shd w:val="clear" w:fill="FFFFFF"/>
          <w:lang w:val="en-US" w:eastAsia="zh-CN" w:bidi="ar"/>
        </w:rPr>
      </w:pPr>
    </w:p>
    <w:p w14:paraId="54C2FF1F">
      <w:pPr>
        <w:pStyle w:val="2"/>
        <w:rPr>
          <w:rFonts w:hint="eastAsia" w:ascii="宋体" w:hAnsi="宋体" w:eastAsia="宋体" w:cs="宋体"/>
          <w:i w:val="0"/>
          <w:iCs w:val="0"/>
          <w:caps w:val="0"/>
          <w:spacing w:val="0"/>
          <w:kern w:val="0"/>
          <w:sz w:val="24"/>
          <w:szCs w:val="24"/>
          <w:shd w:val="clear" w:fill="FFFFFF"/>
          <w:lang w:val="en-US" w:eastAsia="zh-CN" w:bidi="ar"/>
        </w:rPr>
      </w:pPr>
    </w:p>
    <w:p w14:paraId="6FD9B35C">
      <w:pPr>
        <w:pStyle w:val="2"/>
        <w:rPr>
          <w:rFonts w:hint="eastAsia" w:ascii="宋体" w:hAnsi="宋体" w:eastAsia="宋体" w:cs="宋体"/>
          <w:i w:val="0"/>
          <w:iCs w:val="0"/>
          <w:caps w:val="0"/>
          <w:spacing w:val="0"/>
          <w:kern w:val="0"/>
          <w:sz w:val="24"/>
          <w:szCs w:val="24"/>
          <w:shd w:val="clear" w:fill="FFFFFF"/>
          <w:lang w:val="en-US" w:eastAsia="zh-CN" w:bidi="ar"/>
        </w:rPr>
      </w:pPr>
    </w:p>
    <w:p w14:paraId="628BE294">
      <w:pPr>
        <w:pStyle w:val="2"/>
        <w:rPr>
          <w:rFonts w:hint="eastAsia" w:ascii="宋体" w:hAnsi="宋体" w:eastAsia="宋体" w:cs="宋体"/>
          <w:i w:val="0"/>
          <w:iCs w:val="0"/>
          <w:caps w:val="0"/>
          <w:spacing w:val="0"/>
          <w:kern w:val="0"/>
          <w:sz w:val="24"/>
          <w:szCs w:val="24"/>
          <w:shd w:val="clear" w:fill="FFFFFF"/>
          <w:lang w:val="en-US" w:eastAsia="zh-CN" w:bidi="ar"/>
        </w:rPr>
      </w:pPr>
    </w:p>
    <w:p w14:paraId="5EF0D363">
      <w:pPr>
        <w:pStyle w:val="2"/>
        <w:rPr>
          <w:rFonts w:hint="eastAsia" w:ascii="宋体" w:hAnsi="宋体" w:eastAsia="宋体" w:cs="宋体"/>
          <w:i w:val="0"/>
          <w:iCs w:val="0"/>
          <w:caps w:val="0"/>
          <w:spacing w:val="0"/>
          <w:kern w:val="0"/>
          <w:sz w:val="24"/>
          <w:szCs w:val="24"/>
          <w:shd w:val="clear" w:fill="FFFFFF"/>
          <w:lang w:val="en-US" w:eastAsia="zh-CN" w:bidi="ar"/>
        </w:rPr>
      </w:pPr>
    </w:p>
    <w:p w14:paraId="5B96717B">
      <w:pPr>
        <w:pStyle w:val="2"/>
        <w:rPr>
          <w:rFonts w:hint="eastAsia" w:ascii="宋体" w:hAnsi="宋体" w:eastAsia="宋体" w:cs="宋体"/>
          <w:i w:val="0"/>
          <w:iCs w:val="0"/>
          <w:caps w:val="0"/>
          <w:spacing w:val="0"/>
          <w:kern w:val="0"/>
          <w:sz w:val="24"/>
          <w:szCs w:val="24"/>
          <w:shd w:val="clear" w:fill="FFFFFF"/>
          <w:lang w:val="en-US" w:eastAsia="zh-CN" w:bidi="ar"/>
        </w:rPr>
      </w:pPr>
    </w:p>
    <w:p w14:paraId="2056484D">
      <w:pPr>
        <w:pStyle w:val="2"/>
        <w:rPr>
          <w:rFonts w:hint="eastAsia" w:ascii="宋体" w:hAnsi="宋体" w:eastAsia="宋体" w:cs="宋体"/>
          <w:i w:val="0"/>
          <w:iCs w:val="0"/>
          <w:caps w:val="0"/>
          <w:spacing w:val="0"/>
          <w:kern w:val="0"/>
          <w:sz w:val="24"/>
          <w:szCs w:val="24"/>
          <w:shd w:val="clear" w:fill="FFFFFF"/>
          <w:lang w:val="en-US" w:eastAsia="zh-CN" w:bidi="ar"/>
        </w:rPr>
      </w:pPr>
    </w:p>
    <w:p w14:paraId="0CB042BC">
      <w:pPr>
        <w:pStyle w:val="2"/>
        <w:rPr>
          <w:rFonts w:hint="eastAsia" w:ascii="宋体" w:hAnsi="宋体" w:eastAsia="宋体" w:cs="宋体"/>
          <w:i w:val="0"/>
          <w:iCs w:val="0"/>
          <w:caps w:val="0"/>
          <w:spacing w:val="0"/>
          <w:kern w:val="0"/>
          <w:sz w:val="24"/>
          <w:szCs w:val="24"/>
          <w:shd w:val="clear" w:fill="FFFFFF"/>
          <w:lang w:val="en-US" w:eastAsia="zh-CN" w:bidi="ar"/>
        </w:rPr>
      </w:pPr>
    </w:p>
    <w:p w14:paraId="5FDDEFE2">
      <w:pPr>
        <w:pStyle w:val="2"/>
        <w:rPr>
          <w:rFonts w:hint="eastAsia" w:ascii="宋体" w:hAnsi="宋体" w:eastAsia="宋体" w:cs="宋体"/>
          <w:i w:val="0"/>
          <w:iCs w:val="0"/>
          <w:caps w:val="0"/>
          <w:spacing w:val="0"/>
          <w:kern w:val="0"/>
          <w:sz w:val="24"/>
          <w:szCs w:val="24"/>
          <w:shd w:val="clear" w:fill="FFFFFF"/>
          <w:lang w:val="en-US" w:eastAsia="zh-CN" w:bidi="ar"/>
        </w:rPr>
      </w:pPr>
    </w:p>
    <w:p w14:paraId="54B7C1C0">
      <w:pPr>
        <w:pStyle w:val="2"/>
        <w:rPr>
          <w:rFonts w:hint="eastAsia" w:ascii="宋体" w:hAnsi="宋体" w:eastAsia="宋体" w:cs="宋体"/>
          <w:i w:val="0"/>
          <w:iCs w:val="0"/>
          <w:caps w:val="0"/>
          <w:spacing w:val="0"/>
          <w:kern w:val="0"/>
          <w:sz w:val="24"/>
          <w:szCs w:val="24"/>
          <w:shd w:val="clear" w:fill="FFFFFF"/>
          <w:lang w:val="en-US" w:eastAsia="zh-CN" w:bidi="ar"/>
        </w:rPr>
      </w:pPr>
    </w:p>
    <w:p w14:paraId="0C803E70">
      <w:pPr>
        <w:pStyle w:val="2"/>
        <w:rPr>
          <w:rFonts w:hint="eastAsia" w:ascii="宋体" w:hAnsi="宋体" w:eastAsia="宋体" w:cs="宋体"/>
          <w:i w:val="0"/>
          <w:iCs w:val="0"/>
          <w:caps w:val="0"/>
          <w:spacing w:val="0"/>
          <w:kern w:val="0"/>
          <w:sz w:val="24"/>
          <w:szCs w:val="24"/>
          <w:shd w:val="clear" w:fill="FFFFFF"/>
          <w:lang w:val="en-US" w:eastAsia="zh-CN" w:bidi="ar"/>
        </w:rPr>
      </w:pPr>
    </w:p>
    <w:p w14:paraId="5E5F4EC4">
      <w:pPr>
        <w:pStyle w:val="2"/>
        <w:rPr>
          <w:rFonts w:hint="eastAsia" w:ascii="宋体" w:hAnsi="宋体" w:eastAsia="宋体" w:cs="宋体"/>
          <w:b/>
          <w:bCs/>
          <w:i w:val="0"/>
          <w:iCs w:val="0"/>
          <w:caps w:val="0"/>
          <w:spacing w:val="0"/>
          <w:kern w:val="0"/>
          <w:sz w:val="24"/>
          <w:szCs w:val="24"/>
          <w:shd w:val="clear" w:fill="FFFFFF"/>
          <w:lang w:val="en-US" w:eastAsia="zh-CN" w:bidi="ar"/>
        </w:rPr>
      </w:pPr>
    </w:p>
    <w:p w14:paraId="380A0705">
      <w:pPr>
        <w:pStyle w:val="2"/>
        <w:rPr>
          <w:rFonts w:hint="eastAsia" w:ascii="宋体" w:hAnsi="宋体" w:eastAsia="宋体" w:cs="宋体"/>
          <w:i w:val="0"/>
          <w:iCs w:val="0"/>
          <w:caps w:val="0"/>
          <w:spacing w:val="0"/>
          <w:kern w:val="0"/>
          <w:sz w:val="24"/>
          <w:szCs w:val="24"/>
          <w:shd w:val="clear" w:fill="FFFFFF"/>
          <w:lang w:val="en-US" w:eastAsia="zh-CN" w:bidi="ar"/>
        </w:rPr>
      </w:pPr>
    </w:p>
    <w:p w14:paraId="3F886E42">
      <w:pPr>
        <w:pStyle w:val="2"/>
        <w:rPr>
          <w:rFonts w:hint="eastAsia" w:ascii="宋体" w:hAnsi="宋体" w:eastAsia="宋体" w:cs="宋体"/>
          <w:i w:val="0"/>
          <w:iCs w:val="0"/>
          <w:caps w:val="0"/>
          <w:spacing w:val="0"/>
          <w:kern w:val="0"/>
          <w:sz w:val="24"/>
          <w:szCs w:val="24"/>
          <w:shd w:val="clear" w:fill="FFFFFF"/>
          <w:lang w:val="en-US" w:eastAsia="zh-CN" w:bidi="ar"/>
        </w:rPr>
      </w:pPr>
    </w:p>
    <w:p w14:paraId="156644FB">
      <w:pPr>
        <w:pStyle w:val="2"/>
        <w:rPr>
          <w:rFonts w:hint="eastAsia" w:ascii="宋体" w:hAnsi="宋体" w:eastAsia="宋体" w:cs="宋体"/>
          <w:i w:val="0"/>
          <w:iCs w:val="0"/>
          <w:caps w:val="0"/>
          <w:spacing w:val="0"/>
          <w:kern w:val="0"/>
          <w:sz w:val="24"/>
          <w:szCs w:val="24"/>
          <w:shd w:val="clear" w:fill="FFFFFF"/>
          <w:lang w:val="en-US" w:eastAsia="zh-CN" w:bidi="ar"/>
        </w:rPr>
      </w:pPr>
    </w:p>
    <w:p w14:paraId="1A57D12B">
      <w:pPr>
        <w:pStyle w:val="2"/>
        <w:rPr>
          <w:rFonts w:hint="eastAsia" w:ascii="宋体" w:hAnsi="宋体" w:eastAsia="宋体" w:cs="宋体"/>
          <w:b/>
          <w:bCs/>
          <w:i w:val="0"/>
          <w:iCs w:val="0"/>
          <w:caps w:val="0"/>
          <w:spacing w:val="0"/>
          <w:kern w:val="0"/>
          <w:sz w:val="24"/>
          <w:szCs w:val="24"/>
          <w:shd w:val="clear" w:fill="FFFFFF"/>
          <w:lang w:val="en-US" w:eastAsia="zh-CN" w:bidi="ar"/>
        </w:rPr>
      </w:pPr>
      <w:r>
        <w:rPr>
          <w:rFonts w:hint="eastAsia" w:ascii="宋体" w:hAnsi="宋体" w:eastAsia="宋体" w:cs="宋体"/>
          <w:b/>
          <w:bCs/>
          <w:i w:val="0"/>
          <w:iCs w:val="0"/>
          <w:caps w:val="0"/>
          <w:spacing w:val="0"/>
          <w:kern w:val="0"/>
          <w:sz w:val="24"/>
          <w:szCs w:val="24"/>
          <w:shd w:val="clear" w:fill="FFFFFF"/>
          <w:lang w:val="en-US" w:eastAsia="zh-CN" w:bidi="ar"/>
        </w:rPr>
        <w:t>附件3 报价一览表</w:t>
      </w:r>
    </w:p>
    <w:p w14:paraId="71E55120">
      <w:pPr>
        <w:pStyle w:val="2"/>
        <w:rPr>
          <w:rFonts w:hint="default" w:ascii="宋体" w:hAnsi="宋体" w:eastAsia="宋体" w:cs="宋体"/>
          <w:b/>
          <w:bCs/>
          <w:i w:val="0"/>
          <w:iCs w:val="0"/>
          <w:caps w:val="0"/>
          <w:spacing w:val="0"/>
          <w:kern w:val="0"/>
          <w:sz w:val="24"/>
          <w:szCs w:val="24"/>
          <w:shd w:val="clear" w:fill="FFFFFF"/>
          <w:lang w:val="en-US" w:eastAsia="zh-CN" w:bidi="ar"/>
        </w:rPr>
      </w:pPr>
    </w:p>
    <w:p w14:paraId="1F370DB2">
      <w:pPr>
        <w:widowControl/>
        <w:spacing w:line="360" w:lineRule="auto"/>
        <w:jc w:val="center"/>
        <w:rPr>
          <w:rFonts w:hint="eastAsia" w:ascii="宋体" w:hAnsi="宋体" w:cs="宋体"/>
          <w:kern w:val="0"/>
          <w:sz w:val="24"/>
          <w:szCs w:val="24"/>
        </w:rPr>
      </w:pPr>
      <w:r>
        <w:rPr>
          <w:rFonts w:hint="eastAsia" w:ascii="宋体" w:hAnsi="宋体" w:cs="宋体"/>
          <w:kern w:val="0"/>
          <w:sz w:val="24"/>
          <w:szCs w:val="24"/>
          <w:u w:val="single"/>
        </w:rPr>
        <w:t>XXX</w:t>
      </w:r>
      <w:r>
        <w:rPr>
          <w:rFonts w:hint="eastAsia" w:ascii="宋体" w:hAnsi="宋体" w:cs="宋体"/>
          <w:kern w:val="0"/>
          <w:sz w:val="24"/>
          <w:szCs w:val="24"/>
        </w:rPr>
        <w:t>采购项目</w:t>
      </w:r>
    </w:p>
    <w:p w14:paraId="2BF92481">
      <w:pPr>
        <w:widowControl/>
        <w:spacing w:line="360" w:lineRule="auto"/>
        <w:jc w:val="center"/>
        <w:rPr>
          <w:rFonts w:ascii="宋体" w:hAnsi="宋体" w:cs="宋体"/>
          <w:kern w:val="0"/>
          <w:sz w:val="24"/>
          <w:szCs w:val="24"/>
        </w:rPr>
      </w:pPr>
      <w:r>
        <w:rPr>
          <w:rFonts w:hint="eastAsia" w:ascii="宋体" w:hAnsi="宋体" w:cs="宋体"/>
          <w:kern w:val="0"/>
          <w:sz w:val="24"/>
          <w:szCs w:val="24"/>
        </w:rPr>
        <w:t>报价一览表</w:t>
      </w:r>
    </w:p>
    <w:p w14:paraId="51F7C6D4">
      <w:pPr>
        <w:widowControl/>
        <w:spacing w:line="360" w:lineRule="auto"/>
        <w:jc w:val="center"/>
        <w:rPr>
          <w:rFonts w:hint="eastAsia" w:ascii="宋体" w:hAnsi="宋体" w:cs="宋体"/>
          <w:kern w:val="0"/>
          <w:sz w:val="24"/>
          <w:szCs w:val="24"/>
        </w:rPr>
      </w:pPr>
      <w:r>
        <w:rPr>
          <w:rFonts w:hint="eastAsia" w:ascii="宋体" w:hAnsi="宋体" w:cs="宋体"/>
          <w:b/>
          <w:bCs/>
          <w:kern w:val="0"/>
          <w:sz w:val="24"/>
          <w:szCs w:val="24"/>
        </w:rPr>
        <w:t xml:space="preserve"> </w:t>
      </w:r>
    </w:p>
    <w:tbl>
      <w:tblPr>
        <w:tblStyle w:val="8"/>
        <w:tblW w:w="6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33"/>
        <w:gridCol w:w="3267"/>
        <w:gridCol w:w="1505"/>
        <w:gridCol w:w="1185"/>
      </w:tblGrid>
      <w:tr w14:paraId="342667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93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13768ED">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序号</w:t>
            </w:r>
          </w:p>
        </w:tc>
        <w:tc>
          <w:tcPr>
            <w:tcW w:w="3267"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68B607EF">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项目名称</w:t>
            </w:r>
          </w:p>
        </w:tc>
        <w:tc>
          <w:tcPr>
            <w:tcW w:w="1505"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369EF091">
            <w:pPr>
              <w:widowControl/>
              <w:spacing w:line="360" w:lineRule="auto"/>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报价（万元）</w:t>
            </w:r>
          </w:p>
        </w:tc>
        <w:tc>
          <w:tcPr>
            <w:tcW w:w="1185"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4D63DF5F">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备注</w:t>
            </w:r>
          </w:p>
        </w:tc>
      </w:tr>
      <w:tr w14:paraId="798C40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933" w:type="dxa"/>
            <w:tcBorders>
              <w:top w:val="outset" w:color="000000" w:sz="2" w:space="0"/>
              <w:left w:val="single" w:color="auto" w:sz="8" w:space="0"/>
              <w:bottom w:val="outset" w:color="000000" w:sz="2" w:space="0"/>
              <w:right w:val="single" w:color="auto" w:sz="8" w:space="0"/>
            </w:tcBorders>
            <w:noWrap w:val="0"/>
            <w:tcMar>
              <w:top w:w="0" w:type="dxa"/>
              <w:left w:w="108" w:type="dxa"/>
              <w:bottom w:w="0" w:type="dxa"/>
              <w:right w:w="108" w:type="dxa"/>
            </w:tcMar>
            <w:vAlign w:val="center"/>
          </w:tcPr>
          <w:p w14:paraId="0711AD07">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1</w:t>
            </w:r>
          </w:p>
        </w:tc>
        <w:tc>
          <w:tcPr>
            <w:tcW w:w="3267" w:type="dxa"/>
            <w:tcBorders>
              <w:top w:val="outset" w:color="000000" w:sz="2" w:space="0"/>
              <w:left w:val="outset" w:color="000000" w:sz="2" w:space="0"/>
              <w:bottom w:val="outset" w:color="000000" w:sz="2" w:space="0"/>
              <w:right w:val="single" w:color="auto" w:sz="8" w:space="0"/>
            </w:tcBorders>
            <w:noWrap w:val="0"/>
            <w:tcMar>
              <w:top w:w="0" w:type="dxa"/>
              <w:left w:w="108" w:type="dxa"/>
              <w:bottom w:w="0" w:type="dxa"/>
              <w:right w:w="108" w:type="dxa"/>
            </w:tcMar>
            <w:vAlign w:val="center"/>
          </w:tcPr>
          <w:p w14:paraId="62ACD636">
            <w:pPr>
              <w:widowControl/>
              <w:spacing w:line="360" w:lineRule="auto"/>
              <w:jc w:val="left"/>
              <w:rPr>
                <w:rFonts w:hint="eastAsia" w:ascii="宋体" w:hAnsi="宋体" w:cs="宋体"/>
                <w:kern w:val="0"/>
                <w:sz w:val="24"/>
                <w:szCs w:val="24"/>
              </w:rPr>
            </w:pPr>
          </w:p>
        </w:tc>
        <w:tc>
          <w:tcPr>
            <w:tcW w:w="1505" w:type="dxa"/>
            <w:tcBorders>
              <w:top w:val="outset" w:color="000000" w:sz="2" w:space="0"/>
              <w:left w:val="outset" w:color="000000" w:sz="2" w:space="0"/>
              <w:bottom w:val="outset" w:color="000000" w:sz="2" w:space="0"/>
              <w:right w:val="single" w:color="auto" w:sz="8" w:space="0"/>
            </w:tcBorders>
            <w:noWrap w:val="0"/>
            <w:tcMar>
              <w:top w:w="0" w:type="dxa"/>
              <w:left w:w="108" w:type="dxa"/>
              <w:bottom w:w="0" w:type="dxa"/>
              <w:right w:w="108" w:type="dxa"/>
            </w:tcMar>
            <w:vAlign w:val="center"/>
          </w:tcPr>
          <w:p w14:paraId="218A5E4E">
            <w:pPr>
              <w:widowControl/>
              <w:spacing w:line="360" w:lineRule="auto"/>
              <w:jc w:val="left"/>
              <w:rPr>
                <w:rFonts w:hint="eastAsia" w:ascii="宋体" w:hAnsi="宋体" w:cs="宋体"/>
                <w:kern w:val="0"/>
                <w:sz w:val="24"/>
                <w:szCs w:val="24"/>
              </w:rPr>
            </w:pPr>
          </w:p>
        </w:tc>
        <w:tc>
          <w:tcPr>
            <w:tcW w:w="1185" w:type="dxa"/>
            <w:tcBorders>
              <w:top w:val="outset" w:color="000000" w:sz="2" w:space="0"/>
              <w:left w:val="outset" w:color="000000" w:sz="2" w:space="0"/>
              <w:bottom w:val="outset" w:color="000000" w:sz="2" w:space="0"/>
              <w:right w:val="single" w:color="auto" w:sz="8" w:space="0"/>
            </w:tcBorders>
            <w:noWrap w:val="0"/>
            <w:tcMar>
              <w:top w:w="0" w:type="dxa"/>
              <w:left w:w="108" w:type="dxa"/>
              <w:bottom w:w="0" w:type="dxa"/>
              <w:right w:w="108" w:type="dxa"/>
            </w:tcMar>
            <w:vAlign w:val="center"/>
          </w:tcPr>
          <w:p w14:paraId="493D3E8A">
            <w:pPr>
              <w:widowControl/>
              <w:spacing w:line="360" w:lineRule="auto"/>
              <w:jc w:val="left"/>
              <w:rPr>
                <w:rFonts w:hint="eastAsia" w:ascii="宋体" w:hAnsi="宋体" w:cs="宋体"/>
                <w:kern w:val="0"/>
                <w:sz w:val="24"/>
                <w:szCs w:val="24"/>
              </w:rPr>
            </w:pPr>
          </w:p>
        </w:tc>
      </w:tr>
      <w:tr w14:paraId="1D71D9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4200" w:type="dxa"/>
            <w:gridSpan w:val="2"/>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3A10CA6">
            <w:pPr>
              <w:widowControl/>
              <w:spacing w:line="360" w:lineRule="auto"/>
              <w:jc w:val="center"/>
              <w:rPr>
                <w:rFonts w:hint="eastAsia" w:ascii="宋体" w:hAnsi="宋体" w:cs="宋体"/>
                <w:kern w:val="0"/>
                <w:sz w:val="24"/>
                <w:szCs w:val="24"/>
              </w:rPr>
            </w:pPr>
            <w:r>
              <w:rPr>
                <w:rFonts w:hint="eastAsia" w:ascii="宋体" w:hAnsi="宋体" w:cs="宋体"/>
                <w:kern w:val="0"/>
                <w:sz w:val="24"/>
                <w:szCs w:val="24"/>
                <w:lang w:val="en-US" w:eastAsia="zh-CN"/>
              </w:rPr>
              <w:t>合计</w:t>
            </w:r>
          </w:p>
        </w:tc>
        <w:tc>
          <w:tcPr>
            <w:tcW w:w="1505"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30819F7D">
            <w:pPr>
              <w:widowControl/>
              <w:spacing w:line="360" w:lineRule="auto"/>
              <w:jc w:val="left"/>
              <w:rPr>
                <w:rFonts w:hint="eastAsia" w:ascii="宋体" w:hAnsi="宋体" w:cs="宋体"/>
                <w:kern w:val="0"/>
                <w:sz w:val="24"/>
                <w:szCs w:val="24"/>
              </w:rPr>
            </w:pPr>
          </w:p>
        </w:tc>
        <w:tc>
          <w:tcPr>
            <w:tcW w:w="1185"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6966F93C">
            <w:pPr>
              <w:widowControl/>
              <w:spacing w:line="360" w:lineRule="auto"/>
              <w:jc w:val="left"/>
              <w:rPr>
                <w:rFonts w:hint="eastAsia" w:ascii="宋体" w:hAnsi="宋体" w:cs="宋体"/>
                <w:kern w:val="0"/>
                <w:sz w:val="24"/>
                <w:szCs w:val="24"/>
              </w:rPr>
            </w:pPr>
          </w:p>
        </w:tc>
      </w:tr>
    </w:tbl>
    <w:p w14:paraId="7F6303EB">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注：  1.报价应是最终用户验收合格后的总价，此报价含税，含运费，含安装费等各项费用以及采购文件规定的其它费用。</w:t>
      </w:r>
    </w:p>
    <w:p w14:paraId="315A23DA">
      <w:pPr>
        <w:widowControl/>
        <w:spacing w:line="360" w:lineRule="auto"/>
        <w:ind w:firstLine="640"/>
        <w:jc w:val="left"/>
        <w:rPr>
          <w:rFonts w:hint="eastAsia" w:ascii="宋体" w:hAnsi="宋体" w:cs="宋体"/>
          <w:kern w:val="0"/>
          <w:sz w:val="24"/>
          <w:szCs w:val="24"/>
        </w:rPr>
      </w:pPr>
      <w:r>
        <w:rPr>
          <w:rFonts w:hint="eastAsia" w:ascii="宋体" w:hAnsi="宋体" w:cs="宋体"/>
          <w:kern w:val="0"/>
          <w:sz w:val="24"/>
          <w:szCs w:val="24"/>
        </w:rPr>
        <w:t>2.“报价一览表”为多页的，每页均需由法定代表人或授权代表签字并盖投标人印章。</w:t>
      </w:r>
    </w:p>
    <w:p w14:paraId="6E7C76F1">
      <w:pPr>
        <w:widowControl/>
        <w:spacing w:line="360" w:lineRule="auto"/>
        <w:ind w:firstLine="640"/>
        <w:jc w:val="left"/>
        <w:rPr>
          <w:rFonts w:hint="eastAsia" w:ascii="宋体" w:hAnsi="宋体" w:cs="宋体"/>
          <w:kern w:val="0"/>
          <w:sz w:val="24"/>
          <w:szCs w:val="24"/>
        </w:rPr>
      </w:pPr>
      <w:r>
        <w:rPr>
          <w:rFonts w:hint="eastAsia" w:ascii="宋体" w:hAnsi="宋体" w:cs="宋体"/>
          <w:kern w:val="0"/>
          <w:sz w:val="24"/>
          <w:szCs w:val="24"/>
        </w:rPr>
        <w:t>3.“报价一览表”需单独密封。</w:t>
      </w:r>
    </w:p>
    <w:p w14:paraId="2509F054">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 xml:space="preserve">供应商名称（盖章）：        </w:t>
      </w:r>
    </w:p>
    <w:p w14:paraId="66BF7EE5">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 xml:space="preserve">法定代表人或授权代表（签字）：     </w:t>
      </w:r>
    </w:p>
    <w:p w14:paraId="4B98E825">
      <w:pPr>
        <w:widowControl/>
        <w:spacing w:line="360" w:lineRule="auto"/>
        <w:ind w:firstLine="480"/>
        <w:jc w:val="left"/>
        <w:rPr>
          <w:rFonts w:hint="eastAsia" w:ascii="宋体" w:hAnsi="宋体" w:cs="宋体"/>
          <w:kern w:val="0"/>
          <w:sz w:val="24"/>
          <w:szCs w:val="24"/>
        </w:rPr>
      </w:pPr>
      <w:r>
        <w:rPr>
          <w:rFonts w:hint="eastAsia" w:ascii="宋体" w:hAnsi="宋体" w:cs="宋体"/>
          <w:kern w:val="0"/>
          <w:sz w:val="24"/>
          <w:szCs w:val="24"/>
        </w:rPr>
        <w:t>日期：</w:t>
      </w:r>
    </w:p>
    <w:p w14:paraId="4A6481AC">
      <w:pPr>
        <w:pStyle w:val="2"/>
        <w:rPr>
          <w:rFonts w:hint="default" w:ascii="宋体" w:hAnsi="宋体" w:eastAsia="宋体" w:cs="宋体"/>
          <w:i w:val="0"/>
          <w:iCs w:val="0"/>
          <w:caps w:val="0"/>
          <w:spacing w:val="0"/>
          <w:kern w:val="0"/>
          <w:sz w:val="24"/>
          <w:szCs w:val="24"/>
          <w:shd w:val="clear" w:fill="FFFFFF"/>
          <w:lang w:val="en-US" w:eastAsia="zh-CN" w:bidi="ar"/>
        </w:rPr>
      </w:pPr>
    </w:p>
    <w:p w14:paraId="55B24E27">
      <w:pPr>
        <w:pStyle w:val="2"/>
        <w:rPr>
          <w:rFonts w:hint="eastAsia"/>
        </w:rPr>
      </w:pPr>
    </w:p>
    <w:p w14:paraId="00A18CCA">
      <w:pPr>
        <w:pStyle w:val="4"/>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i w:val="0"/>
          <w:caps w:val="0"/>
          <w:color w:val="auto"/>
          <w:spacing w:val="0"/>
          <w:w w:val="100"/>
          <w:sz w:val="24"/>
          <w:szCs w:val="24"/>
          <w:highlight w:val="none"/>
          <w:lang w:val="en-US" w:eastAsia="zh-CN"/>
        </w:rPr>
      </w:pPr>
    </w:p>
    <w:p w14:paraId="5624DE0F">
      <w:pPr>
        <w:keepNext w:val="0"/>
        <w:keepLines w:val="0"/>
        <w:pageBreakBefore w:val="0"/>
        <w:kinsoku/>
        <w:wordWrap/>
        <w:overflowPunct/>
        <w:topLinePunct w:val="0"/>
        <w:autoSpaceDE/>
        <w:autoSpaceDN/>
        <w:bidi w:val="0"/>
        <w:spacing w:beforeAutospacing="0" w:line="360" w:lineRule="auto"/>
        <w:ind w:firstLine="6240" w:firstLineChars="2600"/>
        <w:jc w:val="left"/>
        <w:textAlignment w:val="auto"/>
        <w:rPr>
          <w:rFonts w:hint="eastAsia" w:ascii="宋体" w:hAnsi="宋体" w:eastAsia="宋体" w:cs="宋体"/>
          <w:color w:val="auto"/>
          <w:sz w:val="24"/>
          <w:szCs w:val="24"/>
          <w:highlight w:val="none"/>
        </w:rPr>
      </w:pPr>
    </w:p>
    <w:p w14:paraId="3512189E">
      <w:pPr>
        <w:rPr>
          <w:rFonts w:hint="default"/>
          <w:lang w:val="en-US" w:eastAsia="zh-CN"/>
        </w:rPr>
      </w:pPr>
    </w:p>
    <w:p w14:paraId="70CBD5E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宋体" w:hAnsi="宋体" w:eastAsia="宋体" w:cs="宋体"/>
          <w:i w:val="0"/>
          <w:iCs w:val="0"/>
          <w:caps w:val="0"/>
          <w:spacing w:val="0"/>
          <w:kern w:val="0"/>
          <w:sz w:val="24"/>
          <w:szCs w:val="24"/>
          <w:shd w:val="clear" w:fill="FFFFFF"/>
          <w:lang w:val="en-US" w:eastAsia="zh-CN" w:bidi="ar"/>
        </w:rPr>
      </w:pPr>
    </w:p>
    <w:p w14:paraId="6CA0248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13FF5F-BBE8-45FB-8EE1-46BDA7B940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ZmE0ZmU3Y2M1ZWQ5MWU4OTc0ZDQ0OGMzYzM2NmMifQ=="/>
  </w:docVars>
  <w:rsids>
    <w:rsidRoot w:val="5C233B1E"/>
    <w:rsid w:val="03DA73DE"/>
    <w:rsid w:val="28887BBF"/>
    <w:rsid w:val="2F755BC5"/>
    <w:rsid w:val="3AE26566"/>
    <w:rsid w:val="3B4C09D6"/>
    <w:rsid w:val="3BA313E5"/>
    <w:rsid w:val="40A96C24"/>
    <w:rsid w:val="46F31DC0"/>
    <w:rsid w:val="4DC813F1"/>
    <w:rsid w:val="4E4478F5"/>
    <w:rsid w:val="53316789"/>
    <w:rsid w:val="55CC1950"/>
    <w:rsid w:val="569B0D24"/>
    <w:rsid w:val="57905554"/>
    <w:rsid w:val="5AF3418B"/>
    <w:rsid w:val="5C233B1E"/>
    <w:rsid w:val="5F5E1B86"/>
    <w:rsid w:val="5F6E4102"/>
    <w:rsid w:val="64AA19B4"/>
    <w:rsid w:val="65354E1B"/>
    <w:rsid w:val="66F97F7F"/>
    <w:rsid w:val="6872011C"/>
    <w:rsid w:val="6C292850"/>
    <w:rsid w:val="6CD01102"/>
    <w:rsid w:val="73F26EC8"/>
    <w:rsid w:val="76C460D0"/>
    <w:rsid w:val="79C00836"/>
    <w:rsid w:val="7BE94A5A"/>
    <w:rsid w:val="7C764121"/>
    <w:rsid w:val="7CD103EC"/>
    <w:rsid w:val="7F085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8"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val="0"/>
      <w:ind w:firstLine="420" w:firstLineChars="200"/>
      <w:jc w:val="both"/>
    </w:pPr>
    <w:rPr>
      <w:rFonts w:ascii="Times New Roman" w:hAnsiTheme="minorHAnsi" w:eastAsiaTheme="minorEastAsia" w:cstheme="minorBidi"/>
      <w:kern w:val="2"/>
      <w:sz w:val="21"/>
      <w:szCs w:val="24"/>
      <w:lang w:val="en-US" w:eastAsia="zh-CN" w:bidi="ar-SA"/>
    </w:rPr>
  </w:style>
  <w:style w:type="paragraph" w:styleId="4">
    <w:name w:val="Plain Text"/>
    <w:basedOn w:val="1"/>
    <w:qFormat/>
    <w:uiPriority w:val="0"/>
    <w:pPr>
      <w:spacing w:line="460" w:lineRule="exact"/>
      <w:ind w:firstLine="567"/>
    </w:pPr>
    <w:rPr>
      <w:rFonts w:ascii="宋体" w:hAnsi="Courier New" w:eastAsia="仿宋_GB2312"/>
      <w:sz w:val="28"/>
      <w:szCs w:val="20"/>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6">
    <w:name w:val="Title"/>
    <w:basedOn w:val="1"/>
    <w:next w:val="1"/>
    <w:qFormat/>
    <w:uiPriority w:val="98"/>
    <w:pPr>
      <w:spacing w:before="240" w:after="60"/>
      <w:jc w:val="center"/>
      <w:outlineLvl w:val="0"/>
    </w:pPr>
    <w:rPr>
      <w:rFonts w:ascii="等线 Light" w:hAnsi="等线 Light"/>
      <w:b/>
      <w:bCs/>
      <w:sz w:val="32"/>
      <w:szCs w:val="32"/>
    </w:rPr>
  </w:style>
  <w:style w:type="paragraph" w:styleId="7">
    <w:name w:val="Body Text First Indent"/>
    <w:qFormat/>
    <w:uiPriority w:val="99"/>
    <w:pPr>
      <w:widowControl w:val="0"/>
      <w:spacing w:after="120" w:afterLines="0" w:line="240" w:lineRule="auto"/>
      <w:ind w:firstLine="420" w:firstLineChars="100"/>
      <w:jc w:val="both"/>
    </w:pPr>
    <w:rPr>
      <w:rFonts w:asciiTheme="minorHAnsi" w:hAnsiTheme="minorHAnsi" w:eastAsiaTheme="minorEastAsia" w:cstheme="minorBidi"/>
      <w:kern w:val="2"/>
      <w:sz w:val="21"/>
      <w:szCs w:val="24"/>
      <w:lang w:val="en-US" w:eastAsia="zh-CN" w:bidi="ar-SA"/>
    </w:rPr>
  </w:style>
  <w:style w:type="paragraph" w:customStyle="1" w:styleId="10">
    <w:name w:val="Default"/>
    <w:basedOn w:val="6"/>
    <w:next w:val="3"/>
    <w:qFormat/>
    <w:uiPriority w:val="99"/>
    <w:pPr>
      <w:autoSpaceDE w:val="0"/>
      <w:autoSpaceDN w:val="0"/>
      <w:adjustRightInd w:val="0"/>
    </w:pPr>
    <w:rPr>
      <w:rFonts w:ascii="宋体" w:hAnsi="Times New Roman" w:cs="宋体"/>
      <w:color w:val="000000"/>
      <w:sz w:val="24"/>
      <w:szCs w:val="24"/>
    </w:rPr>
  </w:style>
  <w:style w:type="paragraph" w:customStyle="1" w:styleId="11">
    <w:name w:val="正文首行缩进两字符"/>
    <w:qFormat/>
    <w:uiPriority w:val="0"/>
    <w:pPr>
      <w:widowControl w:val="0"/>
      <w:spacing w:after="160" w:line="360" w:lineRule="auto"/>
      <w:ind w:firstLine="20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495</Words>
  <Characters>534</Characters>
  <Lines>0</Lines>
  <Paragraphs>0</Paragraphs>
  <TotalTime>2</TotalTime>
  <ScaleCrop>false</ScaleCrop>
  <LinksUpToDate>false</LinksUpToDate>
  <CharactersWithSpaces>534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2025-03-24T00:49:00Z</dcterms:created>
  <dc:creator>罗珊珊</dc:creator>
  <cp:lastModifiedBy>罗珊珊</cp:lastModifiedBy>
  <dcterms:modified xsi:type="dcterms:W3CDTF">2025-03-26T08:26:49Z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7DD711984E734A8B954E5CA1ABDC4837_11</vt:lpwstr>
  </property>
</Properties>
</file>