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118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0624A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市场调研需求</w:t>
      </w:r>
    </w:p>
    <w:p w14:paraId="441884E7">
      <w:pPr>
        <w:pStyle w:val="10"/>
        <w:rPr>
          <w:rFonts w:hint="default"/>
          <w:lang w:val="en-US" w:eastAsia="zh-CN"/>
        </w:rPr>
      </w:pPr>
    </w:p>
    <w:p w14:paraId="4D121CA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四川省妇幼保健院晋阳院区现有一座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设计处理能力为350m³/d的污水处理站。为了确保污水处理站的正常运行，需委托专业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运维单位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对污水处理系统（含污水处理站废气）按照环保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相关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法律法规、规范要求及排污许可证相关规定进行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运行维护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保证污水处理设施的正常运行和达标排放。具体要求如下：</w:t>
      </w:r>
    </w:p>
    <w:p w14:paraId="70EFB87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88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一、负责对以下污水处理设施的日常维护、保养，产生的所有设备维修、材料配件，次氯酸钠药剂、标准溶液和分析试剂、年检等所需费用均由运维单位承担。</w:t>
      </w:r>
    </w:p>
    <w:tbl>
      <w:tblPr>
        <w:tblStyle w:val="8"/>
        <w:tblW w:w="8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938"/>
      </w:tblGrid>
      <w:tr w14:paraId="2DF6B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6" w:type="dxa"/>
            <w:vAlign w:val="center"/>
          </w:tcPr>
          <w:p w14:paraId="78AD6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938" w:type="dxa"/>
            <w:vAlign w:val="center"/>
          </w:tcPr>
          <w:p w14:paraId="31DB8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污水</w:t>
            </w: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处理设施</w:t>
            </w:r>
          </w:p>
        </w:tc>
      </w:tr>
      <w:tr w14:paraId="62247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6" w:type="dxa"/>
            <w:vAlign w:val="center"/>
          </w:tcPr>
          <w:p w14:paraId="72C9B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38" w:type="dxa"/>
            <w:vAlign w:val="center"/>
          </w:tcPr>
          <w:p w14:paraId="36D3B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预处理池泵</w:t>
            </w:r>
          </w:p>
        </w:tc>
      </w:tr>
      <w:tr w14:paraId="04E33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6" w:type="dxa"/>
            <w:vAlign w:val="center"/>
          </w:tcPr>
          <w:p w14:paraId="5024E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38" w:type="dxa"/>
            <w:vAlign w:val="center"/>
          </w:tcPr>
          <w:p w14:paraId="11F42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调节池泵</w:t>
            </w:r>
          </w:p>
        </w:tc>
      </w:tr>
      <w:tr w14:paraId="00411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6" w:type="dxa"/>
            <w:vAlign w:val="center"/>
          </w:tcPr>
          <w:p w14:paraId="61BFB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38" w:type="dxa"/>
            <w:vAlign w:val="center"/>
          </w:tcPr>
          <w:p w14:paraId="538FD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回流泵</w:t>
            </w:r>
          </w:p>
        </w:tc>
      </w:tr>
      <w:tr w14:paraId="013FC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6" w:type="dxa"/>
            <w:vAlign w:val="center"/>
          </w:tcPr>
          <w:p w14:paraId="187AB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938" w:type="dxa"/>
            <w:vAlign w:val="center"/>
          </w:tcPr>
          <w:p w14:paraId="4276B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曝气风机</w:t>
            </w:r>
          </w:p>
        </w:tc>
      </w:tr>
      <w:tr w14:paraId="79044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6" w:type="dxa"/>
            <w:vAlign w:val="center"/>
          </w:tcPr>
          <w:p w14:paraId="49190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38" w:type="dxa"/>
            <w:vAlign w:val="center"/>
          </w:tcPr>
          <w:p w14:paraId="34D79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污泥泵</w:t>
            </w:r>
          </w:p>
        </w:tc>
      </w:tr>
      <w:tr w14:paraId="7FBD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6" w:type="dxa"/>
            <w:vAlign w:val="center"/>
          </w:tcPr>
          <w:p w14:paraId="79488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38" w:type="dxa"/>
            <w:vAlign w:val="center"/>
          </w:tcPr>
          <w:p w14:paraId="731A3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回流泵</w:t>
            </w:r>
          </w:p>
        </w:tc>
      </w:tr>
      <w:tr w14:paraId="79BFD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6" w:type="dxa"/>
            <w:vAlign w:val="center"/>
          </w:tcPr>
          <w:p w14:paraId="0E050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938" w:type="dxa"/>
            <w:vAlign w:val="center"/>
          </w:tcPr>
          <w:p w14:paraId="537C3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光氧除臭设备</w:t>
            </w:r>
          </w:p>
        </w:tc>
      </w:tr>
      <w:tr w14:paraId="78860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6" w:type="dxa"/>
            <w:vAlign w:val="center"/>
          </w:tcPr>
          <w:p w14:paraId="641B8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938" w:type="dxa"/>
            <w:vAlign w:val="center"/>
          </w:tcPr>
          <w:p w14:paraId="113D0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污水处理站各个工艺单元</w:t>
            </w:r>
          </w:p>
        </w:tc>
      </w:tr>
      <w:tr w14:paraId="3C13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6" w:type="dxa"/>
            <w:vAlign w:val="center"/>
          </w:tcPr>
          <w:p w14:paraId="04079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6938" w:type="dxa"/>
            <w:vAlign w:val="center"/>
          </w:tcPr>
          <w:p w14:paraId="48453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PAM、PAC等加药设备</w:t>
            </w:r>
          </w:p>
        </w:tc>
      </w:tr>
      <w:tr w14:paraId="483A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6" w:type="dxa"/>
            <w:vAlign w:val="center"/>
          </w:tcPr>
          <w:p w14:paraId="7970D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6938" w:type="dxa"/>
            <w:vAlign w:val="center"/>
          </w:tcPr>
          <w:p w14:paraId="64EC9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填料</w:t>
            </w:r>
          </w:p>
        </w:tc>
      </w:tr>
      <w:tr w14:paraId="4E7D5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6" w:type="dxa"/>
            <w:vAlign w:val="center"/>
          </w:tcPr>
          <w:p w14:paraId="64A26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938" w:type="dxa"/>
            <w:vAlign w:val="center"/>
          </w:tcPr>
          <w:p w14:paraId="0C3C1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次氯酸钠消毒装置</w:t>
            </w:r>
          </w:p>
        </w:tc>
      </w:tr>
      <w:tr w14:paraId="76158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6" w:type="dxa"/>
            <w:vAlign w:val="center"/>
          </w:tcPr>
          <w:p w14:paraId="416F1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938" w:type="dxa"/>
            <w:vAlign w:val="center"/>
          </w:tcPr>
          <w:p w14:paraId="4BABB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在线监测设备</w:t>
            </w:r>
          </w:p>
        </w:tc>
      </w:tr>
      <w:tr w14:paraId="1E0C7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6" w:type="dxa"/>
            <w:vAlign w:val="center"/>
          </w:tcPr>
          <w:p w14:paraId="15D12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453954B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  <w:lang w:eastAsia="zh-CN"/>
              </w:rPr>
              <w:t>COD水质在线监测仪</w:t>
            </w:r>
          </w:p>
        </w:tc>
      </w:tr>
      <w:tr w14:paraId="43011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6" w:type="dxa"/>
            <w:vAlign w:val="center"/>
          </w:tcPr>
          <w:p w14:paraId="5B34E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1026638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  <w:t>氨氮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  <w:lang w:eastAsia="zh-CN"/>
              </w:rPr>
              <w:t>水质在线监测仪</w:t>
            </w:r>
          </w:p>
        </w:tc>
      </w:tr>
      <w:tr w14:paraId="6D880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6" w:type="dxa"/>
            <w:vAlign w:val="center"/>
          </w:tcPr>
          <w:p w14:paraId="0AAA9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5870ABB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lang w:val="en-US" w:eastAsia="en-US"/>
              </w:rPr>
              <w:t>超声波明渠流量计</w:t>
            </w:r>
          </w:p>
        </w:tc>
      </w:tr>
      <w:tr w14:paraId="53886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6" w:type="dxa"/>
            <w:vAlign w:val="center"/>
          </w:tcPr>
          <w:p w14:paraId="0844B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31D31CA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  <w:lang w:eastAsia="zh-CN"/>
              </w:rPr>
              <w:t>PH测量仪</w:t>
            </w:r>
          </w:p>
        </w:tc>
      </w:tr>
      <w:tr w14:paraId="64D15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6" w:type="dxa"/>
            <w:vAlign w:val="center"/>
          </w:tcPr>
          <w:p w14:paraId="522BC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512C3CA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  <w:t>悬浮物检测仪</w:t>
            </w:r>
          </w:p>
        </w:tc>
      </w:tr>
      <w:tr w14:paraId="013A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6" w:type="dxa"/>
            <w:vAlign w:val="center"/>
          </w:tcPr>
          <w:p w14:paraId="1904B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20EDF06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  <w:lang w:eastAsia="zh-CN"/>
              </w:rPr>
              <w:t>数采仪</w:t>
            </w:r>
          </w:p>
        </w:tc>
      </w:tr>
      <w:tr w14:paraId="2FC5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6" w:type="dxa"/>
            <w:vAlign w:val="center"/>
          </w:tcPr>
          <w:p w14:paraId="1CB75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4FCDD1F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  <w:lang w:eastAsia="zh-CN"/>
              </w:rPr>
              <w:t>余氯仪</w:t>
            </w:r>
          </w:p>
        </w:tc>
      </w:tr>
      <w:tr w14:paraId="418F1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6" w:type="dxa"/>
            <w:vAlign w:val="center"/>
          </w:tcPr>
          <w:p w14:paraId="604B0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39916C6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eastAsia="zh-CN"/>
              </w:rPr>
              <w:t>全自动水质采样器</w:t>
            </w:r>
          </w:p>
        </w:tc>
      </w:tr>
      <w:tr w14:paraId="1E828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6" w:type="dxa"/>
            <w:vAlign w:val="center"/>
          </w:tcPr>
          <w:p w14:paraId="7A26E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938" w:type="dxa"/>
            <w:vAlign w:val="center"/>
          </w:tcPr>
          <w:p w14:paraId="4CBCA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阀门</w:t>
            </w:r>
          </w:p>
        </w:tc>
      </w:tr>
      <w:tr w14:paraId="3E54D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6" w:type="dxa"/>
            <w:vAlign w:val="center"/>
          </w:tcPr>
          <w:p w14:paraId="0CD13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938" w:type="dxa"/>
            <w:vAlign w:val="center"/>
          </w:tcPr>
          <w:p w14:paraId="4CCB1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一体化设备</w:t>
            </w:r>
          </w:p>
        </w:tc>
      </w:tr>
    </w:tbl>
    <w:p w14:paraId="075C2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人员要求</w:t>
      </w:r>
    </w:p>
    <w:p w14:paraId="7EC5E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1.提供驻场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人员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不少于1名，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人员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具备污废水处理工证书，负责每天（含节假日）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工作时间值守、数据记录、设备检查、药剂投加及常规维护保养，保证污水站正常运行。</w:t>
      </w:r>
    </w:p>
    <w:p w14:paraId="6AE8D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人员配备数量满足日间值班要求，夜间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发现水质超标情况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能够30分钟内到场，各维保人员有污水处理站运行管理相关证书。</w:t>
      </w:r>
    </w:p>
    <w:p w14:paraId="4F2CA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环保管家服务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对现有项目及新上项目提供环保咨询意见，跟踪项目相关手续（环评、验收、应急预案、排污申报等）办理情况。</w:t>
      </w:r>
    </w:p>
    <w:p w14:paraId="31BCA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环保管理培训服务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组织技术力量对项目环境管理政策和要求进行培训交流，1次/年 。</w:t>
      </w:r>
    </w:p>
    <w:p w14:paraId="2A3AA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档案管理服务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按照《排污单位环境管理台账及排污许可证执行报告技术规范总则（试行）》要求，规范化建立纸质+电子“一企一档”。</w:t>
      </w:r>
    </w:p>
    <w:p w14:paraId="6864A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自行检测服务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委托具备CMA资质检测公司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根据排污许可证要求频次进行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污染源检测并出具合格的检测报告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（检测项目包含排污许可证上要求检测项目以及沙门氏菌和志贺氏菌），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费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用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由运维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单位承担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。</w:t>
      </w:r>
    </w:p>
    <w:p w14:paraId="795DD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排污许可执行管理服务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按照《排污许可证申请与核发技术规范 医疗机构》（HJ1105-2020），完善年度执行报告和季度执行报告填报工作。</w:t>
      </w:r>
    </w:p>
    <w:p w14:paraId="38827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管理制度规范化服务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规范建立管理制度，设标识标牌，上墙公示相关制度和相关仪器参数。</w:t>
      </w:r>
    </w:p>
    <w:p w14:paraId="2F2AD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九、应急演练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服务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每半年进行一次应急演练、消防演练，确保人员能够满足应急要求。</w:t>
      </w:r>
    </w:p>
    <w:p w14:paraId="191FE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/>
        </w:rPr>
        <w:t>十、突发环境事件应急预案服务：运维单位依据《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highlight w:val="none"/>
          <w:lang w:val="en-US" w:eastAsia="en-US"/>
        </w:rPr>
        <w:t>国家突发环境事件应急预案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/>
        </w:rPr>
        <w:t>》等相关要求，结合四川省妇幼保健院晋阳院区环境情况，编制《四川省妇幼保健院突发环境事件应急预案》，并提交环保部门备案，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highlight w:val="none"/>
          <w:lang w:val="en-US" w:eastAsia="en-US"/>
        </w:rPr>
        <w:t>费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/>
        </w:rPr>
        <w:t>用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highlight w:val="none"/>
          <w:lang w:val="en-US" w:eastAsia="en-US"/>
        </w:rPr>
        <w:t>由运维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/>
        </w:rPr>
        <w:t>单位承担。</w:t>
      </w:r>
    </w:p>
    <w:p w14:paraId="2D25F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污水处理站运行能力分析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每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开展一次污水处理站处理能力分析，并出具相关分析报告，分析报告中需明确各处理池功能，各排放指标主要处理环节及工艺原理，各排放指标处理前及后结果差异。</w:t>
      </w:r>
    </w:p>
    <w:p w14:paraId="3BF64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十二、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每年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定期对污水处理站内的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污泥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清掏处置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en-US"/>
        </w:rPr>
        <w:t>及在线监测设备废液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/>
        </w:rPr>
        <w:t>、废活性炭、紫外线灯管的转运处置，费用由运维单位承担。需提供与处置单位的合同协议，处置单位危险废物经营许可证需具备841-001-01、900-047-49、900-039-49、900-023-29代码范围，且处置单位需具备《道路运输经营许可证》资质或其与具备《道路运输经营许可证》资质的运输单位的合同协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5DD3CC"/>
    <w:multiLevelType w:val="singleLevel"/>
    <w:tmpl w:val="915DD3CC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23"/>
    <w:rsid w:val="00173902"/>
    <w:rsid w:val="003F1223"/>
    <w:rsid w:val="006945BC"/>
    <w:rsid w:val="068A37A5"/>
    <w:rsid w:val="0E3E1F17"/>
    <w:rsid w:val="0F45282A"/>
    <w:rsid w:val="0FDD306A"/>
    <w:rsid w:val="129C5920"/>
    <w:rsid w:val="189308A3"/>
    <w:rsid w:val="19180BCC"/>
    <w:rsid w:val="19CA2721"/>
    <w:rsid w:val="19CF6119"/>
    <w:rsid w:val="1A9456C0"/>
    <w:rsid w:val="24F45B07"/>
    <w:rsid w:val="2A950CB9"/>
    <w:rsid w:val="2C07191E"/>
    <w:rsid w:val="2E4D1D47"/>
    <w:rsid w:val="35187FA1"/>
    <w:rsid w:val="383F16EE"/>
    <w:rsid w:val="38466E5B"/>
    <w:rsid w:val="434D3354"/>
    <w:rsid w:val="541D604C"/>
    <w:rsid w:val="54626535"/>
    <w:rsid w:val="57633422"/>
    <w:rsid w:val="5C3A276E"/>
    <w:rsid w:val="601B6FA8"/>
    <w:rsid w:val="6DBB528E"/>
    <w:rsid w:val="718D274D"/>
    <w:rsid w:val="799C1992"/>
    <w:rsid w:val="7BC13AA9"/>
    <w:rsid w:val="7DF072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szCs w:val="21"/>
    </w:rPr>
  </w:style>
  <w:style w:type="paragraph" w:styleId="3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Char"/>
    <w:basedOn w:val="1"/>
    <w:qFormat/>
    <w:uiPriority w:val="99"/>
    <w:pPr>
      <w:ind w:firstLine="200" w:firstLineChars="200"/>
    </w:pPr>
    <w:rPr>
      <w:rFonts w:ascii="宋体" w:hAnsi="宋体" w:cs="宋体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4">
    <w:name w:val="Table Paragraph"/>
    <w:basedOn w:val="1"/>
    <w:qFormat/>
    <w:uiPriority w:val="1"/>
    <w:pPr>
      <w:jc w:val="left"/>
    </w:pPr>
    <w:rPr>
      <w:rFonts w:ascii="Calibri" w:hAnsi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1221</Words>
  <Characters>1290</Characters>
  <Lines>8</Lines>
  <Paragraphs>2</Paragraphs>
  <TotalTime>2</TotalTime>
  <ScaleCrop>false</ScaleCrop>
  <LinksUpToDate>false</LinksUpToDate>
  <CharactersWithSpaces>1292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2021-11-03T08:05:00Z</dcterms:created>
  <dc:creator>baojianyuan</dc:creator>
  <cp:lastModifiedBy>蓉儿161</cp:lastModifiedBy>
  <dcterms:modified xsi:type="dcterms:W3CDTF">2025-03-17T10:33:28Z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E8FABC9DB0514C43970CAC12AA5ACBBA_13</vt:lpwstr>
  </property>
  <property fmtid="{D5CDD505-2E9C-101B-9397-08002B2CF9AE}" pid="4" name="KSOTemplateDocerSaveRecord">
    <vt:lpwstr>eyJoZGlkIjoiZDBhYzJmNTU0ZDU3OTdlMDExYjNkYTkwOTljYzdiNTkiLCJ1c2VySWQiOiI1MTA0OTA5ODkifQ==</vt:lpwstr>
  </property>
</Properties>
</file>