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80F2A0">
      <w:pPr>
        <w:pStyle w:val="2"/>
        <w:rPr>
          <w:rFonts w:hint="eastAsia"/>
          <w:lang w:eastAsia="zh-CN"/>
        </w:rPr>
      </w:pPr>
      <w:bookmarkStart w:id="0" w:name="_GoBack"/>
      <w:bookmarkEnd w:id="0"/>
    </w:p>
    <w:p w14:paraId="2E5941C4">
      <w:pPr>
        <w:outlineLvl w:val="0"/>
        <w:rPr>
          <w:rFonts w:hint="eastAsia" w:ascii="仿宋" w:hAnsi="仿宋" w:eastAsia="仿宋"/>
          <w:sz w:val="28"/>
          <w:szCs w:val="28"/>
          <w:lang w:eastAsia="zh-CN"/>
        </w:rPr>
      </w:pPr>
      <w:r>
        <w:rPr>
          <w:rFonts w:hint="eastAsia" w:ascii="仿宋" w:hAnsi="仿宋" w:eastAsia="仿宋"/>
          <w:sz w:val="28"/>
          <w:szCs w:val="28"/>
          <w:lang w:eastAsia="zh-CN"/>
        </w:rPr>
        <w:t>附件1：参选机构资质要求</w:t>
      </w:r>
    </w:p>
    <w:p w14:paraId="05374288">
      <w:pPr>
        <w:outlineLvl w:val="0"/>
        <w:rPr>
          <w:rFonts w:hint="eastAsia" w:ascii="仿宋" w:hAnsi="仿宋" w:eastAsia="仿宋"/>
          <w:sz w:val="28"/>
          <w:szCs w:val="28"/>
          <w:lang w:eastAsia="zh-CN"/>
        </w:rPr>
      </w:pPr>
      <w:r>
        <w:rPr>
          <w:rFonts w:hint="eastAsia" w:ascii="仿宋" w:hAnsi="仿宋" w:eastAsia="仿宋"/>
          <w:sz w:val="28"/>
          <w:szCs w:val="28"/>
          <w:lang w:eastAsia="zh-CN"/>
        </w:rPr>
        <w:t>附件2：合作方案基本格式</w:t>
      </w:r>
    </w:p>
    <w:p w14:paraId="72D9DED8">
      <w:pPr>
        <w:outlineLvl w:val="0"/>
        <w:rPr>
          <w:rFonts w:hint="default" w:ascii="仿宋" w:hAnsi="仿宋" w:eastAsia="仿宋"/>
          <w:sz w:val="28"/>
          <w:szCs w:val="28"/>
          <w:lang w:val="en-US"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3：报价</w:t>
      </w:r>
    </w:p>
    <w:p w14:paraId="5356F901">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4</w:t>
      </w:r>
      <w:r>
        <w:rPr>
          <w:rFonts w:hint="eastAsia" w:ascii="仿宋" w:hAnsi="仿宋" w:eastAsia="仿宋"/>
          <w:sz w:val="28"/>
          <w:szCs w:val="28"/>
          <w:lang w:eastAsia="zh-CN"/>
        </w:rPr>
        <w:t>: 参选方案文件书装订顺序</w:t>
      </w:r>
    </w:p>
    <w:p w14:paraId="29A437EB">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5</w:t>
      </w:r>
      <w:r>
        <w:rPr>
          <w:rFonts w:hint="eastAsia" w:ascii="仿宋" w:hAnsi="仿宋" w:eastAsia="仿宋"/>
          <w:sz w:val="28"/>
          <w:szCs w:val="28"/>
          <w:lang w:eastAsia="zh-CN"/>
        </w:rPr>
        <w:t>：偏离表</w:t>
      </w:r>
    </w:p>
    <w:p w14:paraId="11AEF289">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6</w:t>
      </w:r>
      <w:r>
        <w:rPr>
          <w:rFonts w:hint="eastAsia" w:ascii="仿宋" w:hAnsi="仿宋" w:eastAsia="仿宋"/>
          <w:sz w:val="28"/>
          <w:szCs w:val="28"/>
          <w:lang w:eastAsia="zh-CN"/>
        </w:rPr>
        <w:t>：法定代表人身份授权书</w:t>
      </w:r>
    </w:p>
    <w:p w14:paraId="3999BE83">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7</w:t>
      </w:r>
      <w:r>
        <w:rPr>
          <w:rFonts w:hint="eastAsia" w:ascii="仿宋" w:hAnsi="仿宋" w:eastAsia="仿宋"/>
          <w:sz w:val="28"/>
          <w:szCs w:val="28"/>
          <w:lang w:eastAsia="zh-CN"/>
        </w:rPr>
        <w:t>：反商业贿赂承诺书</w:t>
      </w:r>
    </w:p>
    <w:p w14:paraId="4E32AC46">
      <w:pPr>
        <w:outlineLvl w:val="0"/>
        <w:rPr>
          <w:rFonts w:hint="default" w:ascii="仿宋" w:hAnsi="仿宋" w:eastAsia="仿宋"/>
          <w:sz w:val="28"/>
          <w:szCs w:val="28"/>
          <w:lang w:val="en-US"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8：</w:t>
      </w:r>
      <w:r>
        <w:rPr>
          <w:rFonts w:hint="eastAsia" w:ascii="仿宋" w:hAnsi="仿宋" w:eastAsia="仿宋" w:cstheme="minorBidi"/>
          <w:b w:val="0"/>
          <w:sz w:val="28"/>
          <w:szCs w:val="28"/>
          <w:lang w:eastAsia="zh-CN"/>
        </w:rPr>
        <w:t>参选机构</w:t>
      </w:r>
      <w:r>
        <w:rPr>
          <w:rFonts w:hint="eastAsia" w:ascii="仿宋" w:hAnsi="仿宋" w:eastAsia="仿宋" w:cstheme="minorBidi"/>
          <w:b w:val="0"/>
          <w:sz w:val="28"/>
          <w:szCs w:val="28"/>
        </w:rPr>
        <w:t>遵守</w:t>
      </w:r>
      <w:r>
        <w:rPr>
          <w:rFonts w:hint="eastAsia" w:ascii="仿宋" w:hAnsi="仿宋" w:eastAsia="仿宋" w:cstheme="minorBidi"/>
          <w:b w:val="0"/>
          <w:sz w:val="28"/>
          <w:szCs w:val="28"/>
          <w:lang w:eastAsia="zh-CN"/>
        </w:rPr>
        <w:t>遴选</w:t>
      </w:r>
      <w:r>
        <w:rPr>
          <w:rFonts w:hint="eastAsia" w:ascii="仿宋" w:hAnsi="仿宋" w:eastAsia="仿宋" w:cstheme="minorBidi"/>
          <w:b w:val="0"/>
          <w:sz w:val="28"/>
          <w:szCs w:val="28"/>
        </w:rPr>
        <w:t>纪律承诺书</w:t>
      </w:r>
    </w:p>
    <w:p w14:paraId="633D3D55">
      <w:pPr>
        <w:outlineLvl w:val="0"/>
        <w:rPr>
          <w:rFonts w:hint="eastAsia" w:ascii="仿宋" w:hAnsi="仿宋" w:eastAsia="仿宋"/>
          <w:sz w:val="28"/>
          <w:szCs w:val="28"/>
          <w:lang w:eastAsia="zh-CN"/>
        </w:rPr>
        <w:sectPr>
          <w:footerReference r:id="rId3" w:type="default"/>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sz w:val="28"/>
          <w:szCs w:val="28"/>
          <w:lang w:eastAsia="zh-CN"/>
        </w:rPr>
        <w:t>附件</w:t>
      </w:r>
      <w:r>
        <w:rPr>
          <w:rFonts w:hint="eastAsia" w:ascii="仿宋" w:hAnsi="仿宋" w:eastAsia="仿宋"/>
          <w:sz w:val="28"/>
          <w:szCs w:val="28"/>
          <w:lang w:val="en-US" w:eastAsia="zh-CN"/>
        </w:rPr>
        <w:t>9</w:t>
      </w:r>
      <w:r>
        <w:rPr>
          <w:rFonts w:hint="eastAsia" w:ascii="仿宋" w:hAnsi="仿宋" w:eastAsia="仿宋"/>
          <w:sz w:val="28"/>
          <w:szCs w:val="28"/>
          <w:lang w:eastAsia="zh-CN"/>
        </w:rPr>
        <w:t>：评审办法（综合评分明细表）</w:t>
      </w:r>
    </w:p>
    <w:p w14:paraId="60B17B73">
      <w:pPr>
        <w:outlineLvl w:val="0"/>
        <w:rPr>
          <w:rFonts w:ascii="仿宋" w:hAnsi="仿宋" w:eastAsia="仿宋"/>
          <w:sz w:val="28"/>
          <w:szCs w:val="28"/>
        </w:rPr>
      </w:pPr>
      <w:r>
        <w:rPr>
          <w:rFonts w:hint="eastAsia" w:ascii="仿宋" w:hAnsi="仿宋" w:eastAsia="仿宋"/>
          <w:sz w:val="28"/>
          <w:szCs w:val="28"/>
        </w:rPr>
        <w:t>附件</w:t>
      </w:r>
      <w:r>
        <w:rPr>
          <w:rFonts w:ascii="仿宋" w:hAnsi="仿宋" w:eastAsia="仿宋"/>
          <w:sz w:val="28"/>
          <w:szCs w:val="28"/>
        </w:rPr>
        <w:t>1：</w:t>
      </w:r>
    </w:p>
    <w:p w14:paraId="79266D82">
      <w:pPr>
        <w:adjustRightInd w:val="0"/>
        <w:snapToGrid w:val="0"/>
        <w:spacing w:line="480" w:lineRule="auto"/>
        <w:ind w:firstLine="640"/>
        <w:jc w:val="center"/>
        <w:outlineLvl w:val="0"/>
        <w:rPr>
          <w:rFonts w:hint="eastAsia" w:ascii="仿宋" w:hAnsi="仿宋" w:eastAsia="仿宋"/>
          <w:b/>
          <w:sz w:val="32"/>
          <w:szCs w:val="32"/>
        </w:rPr>
      </w:pPr>
      <w:r>
        <w:rPr>
          <w:rFonts w:hint="eastAsia" w:ascii="仿宋" w:hAnsi="仿宋" w:eastAsia="仿宋"/>
          <w:b/>
          <w:sz w:val="32"/>
          <w:szCs w:val="32"/>
        </w:rPr>
        <w:t>参选机构</w:t>
      </w:r>
      <w:r>
        <w:rPr>
          <w:rFonts w:hint="eastAsia" w:ascii="仿宋" w:hAnsi="仿宋" w:eastAsia="仿宋"/>
          <w:b/>
          <w:sz w:val="32"/>
          <w:szCs w:val="32"/>
          <w:lang w:eastAsia="zh-CN"/>
        </w:rPr>
        <w:t>资质</w:t>
      </w:r>
      <w:r>
        <w:rPr>
          <w:rFonts w:hint="eastAsia" w:ascii="仿宋" w:hAnsi="仿宋" w:eastAsia="仿宋"/>
          <w:b/>
          <w:sz w:val="32"/>
          <w:szCs w:val="32"/>
        </w:rPr>
        <w:t>要求</w:t>
      </w:r>
    </w:p>
    <w:p w14:paraId="38FB6B2F">
      <w:p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一、总体要求</w:t>
      </w:r>
    </w:p>
    <w:p w14:paraId="1C33253D">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拟遴选一家孕妇外周血血浆游离DNA全基因组染色体高通量测序分析项目的第三方医学检测机构。</w:t>
      </w:r>
    </w:p>
    <w:p w14:paraId="08D5E5B0">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第三方医学检测机构负责承担我院孕妇外周血血浆游离DNA全基因组染色体高通量测序分析项目院外合作市场的项目开拓，并提供实验室检测、科研、运营管理、相关培训、物流配送（含样本的转运、检测报告和临床报告的发送）等综合服务；我院负责临床报告出具、技术指导、人员培训、质量控制和项目整体监管，提出每年的基本合作业务量，与第三方医学检测机构共同为我院项目合作医院体系的患者提供疾病筛查、诊断与治疗服务，共享合作成果，共同推动该技术惠及我省孕产妇及其家庭的民生发展。</w:t>
      </w:r>
    </w:p>
    <w:p w14:paraId="29DE411D">
      <w:p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二、合作模式</w:t>
      </w:r>
    </w:p>
    <w:p w14:paraId="44F42AE1">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引入具备资质完善、综合实力较强的检测机构，由其负责承接我院孕妇外周血血浆游离DNA全基因组染色体高通量测序分析项目的院外合作需求、运营该项目在我院院外的医院合作体系，提升服务质量、增强体系学术支持、加强科学管理。同时，检测机构须严格按照相关政策要求，选择符合资质的产筛/产诊机构进行合作。我院可通过与第三方医学检测机构组成联合体的方式，参与有业务合作需求的基层机构公开招标活动，或通过市场认可的方式签署合作协议，在此种模式下，基层合作机构可根据送检样本量分别向我院和第三方医学检测机构支付诊断服务费、实验室检测服务费。</w:t>
      </w:r>
    </w:p>
    <w:p w14:paraId="7F0D0CB7">
      <w:p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三、资质要求</w:t>
      </w:r>
    </w:p>
    <w:p w14:paraId="25A1A87E">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1.提供有效年检的营业执照（副本复印件）；</w:t>
      </w:r>
    </w:p>
    <w:p w14:paraId="1AE4EFBC">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2.法定代表人身份授权书（原件，格式见附件6）,法定代表人与授权代表身份证复印件；</w:t>
      </w:r>
    </w:p>
    <w:p w14:paraId="0AF82B0F">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3.医疗机构执业许可证（复印件）；</w:t>
      </w:r>
    </w:p>
    <w:p w14:paraId="057A46E0">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4.具备临床基因扩增检验实验室资质（以参选单位提供的临床检验主管部门出具的批复文件或实验室认定证书复印件为评审依据）；</w:t>
      </w:r>
    </w:p>
    <w:p w14:paraId="094AEC97">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5.具有良好的商业信誉和健全的财务会计制度（良好的商业信誉需要提供承诺函。健全的财务会计制度需提供2023年或2024年年度财务报表，参选单位注册时间截至报名文件递交截止日不足一年的，也可提供在工商备案的公司章程（复印件））；</w:t>
      </w:r>
    </w:p>
    <w:p w14:paraId="0DCCB39F">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6.具有履行合同所必需的设备和专业技术能力（提供承诺函）；</w:t>
      </w:r>
    </w:p>
    <w:p w14:paraId="0B136D11">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7.有依法缴纳税收和社会保障资金的良好记录（提供承诺函）；</w:t>
      </w:r>
    </w:p>
    <w:p w14:paraId="0FE91295">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8.近三年内，参选单位无任何行贿及犯罪记录，无任何负面新闻（提供承诺函原件）；</w:t>
      </w:r>
    </w:p>
    <w:p w14:paraId="06377E25">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9.近三年内，参选单位未在经营活动中因违法行为（包括消防安全等问题）受到刑事处罚、处以罚款或者没收财产5万元以上、责令停产停业、吊销许可证或者执照等行政处罚（提供承诺函原件）；</w:t>
      </w:r>
    </w:p>
    <w:p w14:paraId="652107E0">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10.反商业贿赂承诺书（附件7）；</w:t>
      </w:r>
    </w:p>
    <w:p w14:paraId="23205FFD">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11.参选单位遵守遴选纪律承诺书（提供承诺函原件，附件8）。</w:t>
      </w:r>
    </w:p>
    <w:p w14:paraId="027D45D7">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注：①5—11均提供承诺函原件或相关证明材料复印件并加盖公章。②参选单位应按遴选公告的规定和要求附上所有的资格证明文件，要求提供复印件的必须加盖单位公章，并在必要时提供原件备查。若提供的资格证明文件不全或不实，将导致其合作资格被取消。③本项目不接受联合体投标，且不允许分包或转包。</w:t>
      </w:r>
    </w:p>
    <w:p w14:paraId="6943E168">
      <w:pPr>
        <w:numPr>
          <w:ilvl w:val="0"/>
          <w:numId w:val="1"/>
        </w:num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技术服务要求</w:t>
      </w:r>
    </w:p>
    <w:p w14:paraId="28FE72E3">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本技术用于孕妇外周血血浆游离DNA全基因组染色体高通量测序分析项目的开展，参选单位检测平台可以支持除孕妇外周血胎儿游离DNA产前检测（NIPT）项目之外的临床应用（提供测序设备NMPA或CFDA认证相应证明）。</w:t>
      </w:r>
    </w:p>
    <w:p w14:paraId="136187A6">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▲2.参选单位有独立完成本项目的检测能力，提供各品牌测序设备权属证明（提供设备采购合同或购买发票、设备上机证明文件）。</w:t>
      </w:r>
    </w:p>
    <w:p w14:paraId="1F9DA946">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▲3.参选单位使用的试剂符合《医疗器械监督管理条例》和《医疗器械注册管理办法》等相关规定，经药品器械监督管理部门批准注册（提供试剂采购合同或购买发票、NMPA或CFDA认证相应证明）。</w:t>
      </w:r>
    </w:p>
    <w:p w14:paraId="37FC40E5">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▲4.检测内容包含染色体非整倍体，还包含至少90种缺失重复综合征（提供产品彩页或检测报告相关证明材料）。</w:t>
      </w:r>
    </w:p>
    <w:p w14:paraId="3889B973">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▲5.数据分析要求，参选单位需提供：</w:t>
      </w:r>
    </w:p>
    <w:p w14:paraId="2E31962A">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① 包含本地化样本管理、测序芯片管理、数据分析、结果审核等功能的胎儿染色体非整倍体数据分析系统。</w:t>
      </w:r>
    </w:p>
    <w:p w14:paraId="0501F0E2">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② 有单独的胎儿性别计算方法，并在软件中可提示胎儿染色体比例计算值。</w:t>
      </w:r>
    </w:p>
    <w:p w14:paraId="05A21F52">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③ 基于双端测序模式的数据，软件可提供多种方法和提示进行阳性样本的判断（如Z值、RC-GC图、散点图等）。</w:t>
      </w:r>
    </w:p>
    <w:p w14:paraId="63526E53">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（以上要求提供实际分析软件或分析数据的截图证明）</w:t>
      </w:r>
    </w:p>
    <w:p w14:paraId="7BDB5306">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6.为保证检测结果准确性，每样本的检测有效数据量大于20MReads（提供检测记录相应证明材料）。</w:t>
      </w:r>
    </w:p>
    <w:p w14:paraId="155A5649">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7.为满足检测样本量，参选单位检测设备满足单台测序设备、单次检测样本量≥20例（提供检测记录相应证明材料）。</w:t>
      </w:r>
    </w:p>
    <w:p w14:paraId="45ACF04E">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8.样本要求：可保证抽取5ml全血满足本项目检测的需求（提供相应证明资料）。</w:t>
      </w:r>
    </w:p>
    <w:p w14:paraId="168BCC9C">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▲9. 参选单位针对本项目配置的人员需符合四川省卫健委关于相关政策（川卫办发〔2017〕32号）中第一条第（二）款的要求：“其从事孕妇外周血胎儿游离DNA实验室检测技术服务的相关实验技术人员须符合《产前诊断技术管理办法》第八条的有关规定，且经省级及以上卫生计生行政部门认可的机构临床基因扩增检验技术专项培训并合格”（提供人员符合要求的培训合格证书及劳务在职证明）。</w:t>
      </w:r>
    </w:p>
    <w:p w14:paraId="7239B44E">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10.具备自有生物信息学团队和服务器计算资源（提供团队负责人及人员履历等证明材料）。</w:t>
      </w:r>
    </w:p>
    <w:p w14:paraId="2AC7185C">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 xml:space="preserve">▲11.参选单位具备较强的科研能力，参选单位（包含全资母公司和全资子公司）具备参与国家级科研项目并参与承担课题的能力（提供相应证明文件）。 </w:t>
      </w:r>
    </w:p>
    <w:p w14:paraId="63506764">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▲12.可提供专业的遗传咨询团队，团队有具备临床医师资质的人员，团队人员应参加过遗传咨询培训，并获得相关培训证书（提供团队成员简历、临床医师资质、员工在职证明及培训证书复印件为证）。</w:t>
      </w:r>
    </w:p>
    <w:p w14:paraId="1E9B406C">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13.检测报告时间:自采血至发放临床报告时间不超过15个工作日，其中发出因检测失败须重新采血通知的时间不超过10个工作日（提供产品彩页或承诺函）。</w:t>
      </w:r>
    </w:p>
    <w:p w14:paraId="45032196">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14.参选单位LIMS系统与医院LIS系统对接并承担所有接口费用，满足医院医师实现在线完成审核,提供具备样本信息、检测信息、质控信息、检测结果等内容的系统截图等证明资料。</w:t>
      </w:r>
    </w:p>
    <w:p w14:paraId="5394F769">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15.协助医院提供受检孕妇追踪随访服务（提供承诺函）。</w:t>
      </w:r>
    </w:p>
    <w:p w14:paraId="14E4661E">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16.参选单位提供完善的冷链物流体系，具备专业冷链物流渠道和专用冷链箱（提供相关证明材料）。</w:t>
      </w:r>
    </w:p>
    <w:p w14:paraId="192E40C0">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17.提供受检者在线样本检测进度和报告查询系统（提供相关证明材料）。</w:t>
      </w:r>
    </w:p>
    <w:p w14:paraId="1E76D3E7">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18.为受检者提供保险保障措施（提供保险单模板及承诺书）。</w:t>
      </w:r>
    </w:p>
    <w:p w14:paraId="4FAC09B4">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19.根据医院实际科研需要，可在医院指定场所，安排实验技术支持人员及所需设备，协助医院搭建本项目科研所必要的技术条件及验证条件，产生的费用由参选单位承担（需提供相应承诺函，格式自拟）。</w:t>
      </w:r>
    </w:p>
    <w:p w14:paraId="15FD0E7E">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20.培训要求：根据医院要求针对检测流程、检测设备使用、技术原理等，提供与技术相关的培训（提供承诺函）。</w:t>
      </w:r>
    </w:p>
    <w:p w14:paraId="00B284E8">
      <w:p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注：以上20项均提供承诺函原件或证明材料复印件并加盖公章。</w:t>
      </w:r>
    </w:p>
    <w:p w14:paraId="24A11099">
      <w:p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五、商务要求</w:t>
      </w:r>
    </w:p>
    <w:p w14:paraId="0B3B7615">
      <w:pPr>
        <w:spacing w:line="360" w:lineRule="auto"/>
        <w:ind w:firstLine="560" w:firstLineChars="200"/>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（一）报价要求</w:t>
      </w:r>
    </w:p>
    <w:p w14:paraId="180EAA94">
      <w:pPr>
        <w:spacing w:line="360" w:lineRule="auto"/>
        <w:ind w:firstLine="560" w:firstLineChars="200"/>
        <w:jc w:val="both"/>
        <w:rPr>
          <w:rFonts w:hint="default" w:ascii="仿宋" w:hAnsi="仿宋" w:eastAsia="仿宋"/>
          <w:sz w:val="28"/>
          <w:szCs w:val="28"/>
          <w:highlight w:val="none"/>
          <w:lang w:val="en-US" w:eastAsia="zh-CN"/>
        </w:rPr>
      </w:pPr>
      <w:r>
        <w:rPr>
          <w:rFonts w:hint="eastAsia" w:ascii="仿宋" w:hAnsi="仿宋" w:eastAsia="仿宋"/>
          <w:sz w:val="28"/>
          <w:szCs w:val="28"/>
          <w:highlight w:val="none"/>
          <w:lang w:val="en-US" w:eastAsia="zh-CN"/>
        </w:rPr>
        <w:t>1.院外产诊产筛医院模式：我院在本项目合作下的每一例收益分配不低于本项目在四川省各地物价收费标准的20%。</w:t>
      </w:r>
    </w:p>
    <w:p w14:paraId="24BB4646">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2.院外非资质医院转诊模式：我院在本项目合作下的每一例收益分配不低于四川省三甲医院物价收费标准的35%。</w:t>
      </w:r>
    </w:p>
    <w:p w14:paraId="571B6BF1">
      <w:pPr>
        <w:spacing w:line="360" w:lineRule="auto"/>
        <w:ind w:firstLine="560" w:firstLineChars="200"/>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（二）运营目标：</w:t>
      </w:r>
      <w:r>
        <w:rPr>
          <w:rFonts w:hint="eastAsia" w:ascii="仿宋" w:hAnsi="仿宋" w:eastAsia="仿宋" w:cstheme="minorBidi"/>
          <w:color w:val="000000"/>
          <w:kern w:val="2"/>
          <w:sz w:val="28"/>
          <w:szCs w:val="28"/>
          <w:highlight w:val="none"/>
        </w:rPr>
        <w:t>合作期限内，</w:t>
      </w:r>
      <w:r>
        <w:rPr>
          <w:rFonts w:hint="eastAsia" w:ascii="仿宋" w:hAnsi="仿宋" w:eastAsia="仿宋" w:cstheme="minorBidi"/>
          <w:color w:val="000000"/>
          <w:kern w:val="2"/>
          <w:sz w:val="28"/>
          <w:szCs w:val="28"/>
          <w:highlight w:val="none"/>
          <w:lang w:eastAsia="zh-CN"/>
        </w:rPr>
        <w:t>参选单位运营</w:t>
      </w:r>
      <w:r>
        <w:rPr>
          <w:rFonts w:hint="eastAsia" w:ascii="仿宋" w:hAnsi="仿宋" w:eastAsia="仿宋" w:cstheme="minorBidi"/>
          <w:color w:val="000000"/>
          <w:sz w:val="28"/>
          <w:szCs w:val="28"/>
          <w:highlight w:val="none"/>
          <w:lang w:eastAsia="zh-CN"/>
        </w:rPr>
        <w:t>本</w:t>
      </w:r>
      <w:r>
        <w:rPr>
          <w:rFonts w:hint="eastAsia" w:ascii="仿宋" w:hAnsi="仿宋" w:eastAsia="仿宋" w:cstheme="minorBidi"/>
          <w:color w:val="000000"/>
          <w:sz w:val="28"/>
          <w:szCs w:val="28"/>
          <w:highlight w:val="none"/>
        </w:rPr>
        <w:t>项目</w:t>
      </w:r>
      <w:r>
        <w:rPr>
          <w:rFonts w:hint="eastAsia" w:ascii="仿宋" w:hAnsi="仿宋" w:eastAsia="仿宋" w:cstheme="minorBidi"/>
          <w:color w:val="000000"/>
          <w:kern w:val="2"/>
          <w:sz w:val="28"/>
          <w:szCs w:val="28"/>
          <w:highlight w:val="none"/>
          <w:lang w:eastAsia="zh-CN"/>
        </w:rPr>
        <w:t>院外市场标本</w:t>
      </w:r>
      <w:r>
        <w:rPr>
          <w:rFonts w:hint="eastAsia" w:ascii="仿宋" w:hAnsi="仿宋" w:eastAsia="仿宋" w:cstheme="minorBidi"/>
          <w:kern w:val="2"/>
          <w:sz w:val="28"/>
          <w:szCs w:val="28"/>
          <w:highlight w:val="none"/>
          <w:lang w:eastAsia="zh-CN"/>
        </w:rPr>
        <w:t>任务量为</w:t>
      </w:r>
      <w:r>
        <w:rPr>
          <w:rFonts w:hint="eastAsia" w:ascii="仿宋" w:hAnsi="仿宋" w:eastAsia="仿宋" w:cstheme="minorBidi"/>
          <w:color w:val="000000"/>
          <w:kern w:val="2"/>
          <w:sz w:val="28"/>
          <w:szCs w:val="28"/>
          <w:highlight w:val="none"/>
          <w:u w:val="none"/>
          <w:lang w:val="en-US" w:eastAsia="zh-CN"/>
        </w:rPr>
        <w:t>2000</w:t>
      </w:r>
      <w:r>
        <w:rPr>
          <w:rFonts w:hint="eastAsia" w:ascii="仿宋" w:hAnsi="仿宋" w:eastAsia="仿宋" w:cstheme="minorBidi"/>
          <w:color w:val="000000"/>
          <w:kern w:val="2"/>
          <w:sz w:val="28"/>
          <w:szCs w:val="28"/>
          <w:highlight w:val="none"/>
          <w:lang w:val="en-US" w:eastAsia="zh-CN"/>
        </w:rPr>
        <w:t>例</w:t>
      </w:r>
      <w:r>
        <w:rPr>
          <w:rFonts w:hint="eastAsia" w:ascii="仿宋" w:hAnsi="仿宋" w:eastAsia="仿宋" w:cstheme="minorBidi"/>
          <w:kern w:val="2"/>
          <w:sz w:val="28"/>
          <w:szCs w:val="28"/>
          <w:highlight w:val="none"/>
          <w:lang w:val="en-US" w:eastAsia="zh-CN"/>
        </w:rPr>
        <w:t>。</w:t>
      </w:r>
    </w:p>
    <w:p w14:paraId="090ED3FC">
      <w:pPr>
        <w:spacing w:line="360" w:lineRule="auto"/>
        <w:ind w:firstLine="560" w:firstLineChars="200"/>
        <w:rPr>
          <w:rFonts w:hint="eastAsia" w:ascii="仿宋" w:hAnsi="仿宋" w:eastAsia="仿宋" w:cstheme="minorBidi"/>
          <w:sz w:val="28"/>
          <w:szCs w:val="28"/>
          <w:highlight w:val="none"/>
          <w:u w:val="none"/>
          <w:lang w:eastAsia="zh-CN"/>
        </w:rPr>
      </w:pPr>
      <w:r>
        <w:rPr>
          <w:rFonts w:hint="eastAsia" w:ascii="仿宋" w:hAnsi="仿宋" w:eastAsia="仿宋" w:cstheme="minorBidi"/>
          <w:color w:val="auto"/>
          <w:sz w:val="28"/>
          <w:szCs w:val="28"/>
          <w:highlight w:val="none"/>
          <w:lang w:eastAsia="zh-CN"/>
        </w:rPr>
        <w:t>（三）</w:t>
      </w:r>
      <w:r>
        <w:rPr>
          <w:rFonts w:hint="eastAsia" w:ascii="仿宋" w:hAnsi="仿宋" w:eastAsia="仿宋"/>
          <w:color w:val="auto"/>
          <w:sz w:val="28"/>
          <w:szCs w:val="28"/>
          <w:highlight w:val="none"/>
          <w:lang w:val="en-US" w:eastAsia="zh-CN"/>
        </w:rPr>
        <w:t>履约保证金：</w:t>
      </w:r>
      <w:r>
        <w:rPr>
          <w:rFonts w:hint="eastAsia" w:ascii="仿宋" w:hAnsi="仿宋" w:eastAsia="仿宋" w:cstheme="minorBidi"/>
          <w:color w:val="auto"/>
          <w:sz w:val="28"/>
          <w:szCs w:val="28"/>
          <w:highlight w:val="none"/>
          <w:lang w:eastAsia="zh-CN"/>
        </w:rPr>
        <w:t>参选</w:t>
      </w:r>
      <w:r>
        <w:rPr>
          <w:rFonts w:hint="eastAsia" w:ascii="仿宋" w:hAnsi="仿宋" w:eastAsia="仿宋" w:cstheme="minorBidi"/>
          <w:color w:val="000000"/>
          <w:kern w:val="2"/>
          <w:sz w:val="28"/>
          <w:szCs w:val="28"/>
          <w:highlight w:val="none"/>
          <w:lang w:eastAsia="zh-CN"/>
        </w:rPr>
        <w:t>单位</w:t>
      </w:r>
      <w:r>
        <w:rPr>
          <w:rFonts w:hint="eastAsia" w:ascii="仿宋" w:hAnsi="仿宋" w:eastAsia="仿宋" w:cstheme="minorBidi"/>
          <w:color w:val="auto"/>
          <w:sz w:val="28"/>
          <w:szCs w:val="28"/>
          <w:highlight w:val="none"/>
        </w:rPr>
        <w:t>应在本协议签订后5日内一次性向</w:t>
      </w:r>
      <w:r>
        <w:rPr>
          <w:rFonts w:hint="eastAsia" w:ascii="仿宋" w:hAnsi="仿宋" w:eastAsia="仿宋" w:cstheme="minorBidi"/>
          <w:color w:val="auto"/>
          <w:sz w:val="28"/>
          <w:szCs w:val="28"/>
          <w:highlight w:val="none"/>
          <w:lang w:eastAsia="zh-CN"/>
        </w:rPr>
        <w:t>我院</w:t>
      </w:r>
      <w:r>
        <w:rPr>
          <w:rFonts w:hint="eastAsia" w:ascii="仿宋" w:hAnsi="仿宋" w:eastAsia="仿宋" w:cstheme="minorBidi"/>
          <w:color w:val="auto"/>
          <w:sz w:val="28"/>
          <w:szCs w:val="28"/>
          <w:highlight w:val="none"/>
        </w:rPr>
        <w:t>缴纳履约保证金人民币</w:t>
      </w:r>
      <w:r>
        <w:rPr>
          <w:rFonts w:hint="eastAsia" w:ascii="仿宋" w:hAnsi="仿宋" w:eastAsia="仿宋" w:cstheme="minorBidi"/>
          <w:color w:val="auto"/>
          <w:sz w:val="28"/>
          <w:szCs w:val="28"/>
          <w:highlight w:val="none"/>
          <w:u w:val="none"/>
          <w:lang w:val="en-US" w:eastAsia="zh-CN"/>
        </w:rPr>
        <w:t>10</w:t>
      </w:r>
      <w:r>
        <w:rPr>
          <w:rFonts w:hint="eastAsia" w:ascii="仿宋" w:hAnsi="仿宋" w:eastAsia="仿宋" w:cstheme="minorBidi"/>
          <w:color w:val="auto"/>
          <w:sz w:val="28"/>
          <w:szCs w:val="28"/>
          <w:highlight w:val="none"/>
          <w:u w:val="none"/>
        </w:rPr>
        <w:t>万元</w:t>
      </w:r>
      <w:r>
        <w:rPr>
          <w:rFonts w:hint="eastAsia" w:ascii="仿宋" w:hAnsi="仿宋" w:eastAsia="仿宋" w:cstheme="minorBidi"/>
          <w:color w:val="auto"/>
          <w:sz w:val="28"/>
          <w:szCs w:val="28"/>
          <w:highlight w:val="none"/>
          <w:u w:val="none"/>
          <w:lang w:eastAsia="zh-CN"/>
        </w:rPr>
        <w:t>，</w:t>
      </w:r>
      <w:r>
        <w:rPr>
          <w:rFonts w:hint="eastAsia" w:ascii="仿宋" w:hAnsi="仿宋" w:eastAsia="仿宋" w:cstheme="minorBidi"/>
          <w:sz w:val="28"/>
          <w:szCs w:val="28"/>
          <w:highlight w:val="none"/>
          <w:u w:val="none"/>
          <w:lang w:eastAsia="zh-CN"/>
        </w:rPr>
        <w:t>若在合作期限内未完成运营目标（即院外市场标本数量未达到2000例），则每少完成1例，履约保证金扣除人民币500元。若实际完成标本数量低于</w:t>
      </w:r>
      <w:r>
        <w:rPr>
          <w:rFonts w:hint="eastAsia" w:ascii="仿宋" w:hAnsi="仿宋" w:eastAsia="仿宋" w:cstheme="minorBidi"/>
          <w:sz w:val="28"/>
          <w:szCs w:val="28"/>
          <w:highlight w:val="none"/>
          <w:u w:val="none"/>
          <w:lang w:val="en-US" w:eastAsia="zh-CN"/>
        </w:rPr>
        <w:t>1800</w:t>
      </w:r>
      <w:r>
        <w:rPr>
          <w:rFonts w:hint="eastAsia" w:ascii="仿宋" w:hAnsi="仿宋" w:eastAsia="仿宋" w:cstheme="minorBidi"/>
          <w:sz w:val="28"/>
          <w:szCs w:val="28"/>
          <w:highlight w:val="none"/>
          <w:u w:val="none"/>
          <w:lang w:eastAsia="zh-CN"/>
        </w:rPr>
        <w:t>例，扣除全部履约保证金。在完成运营目标且无其他违约行为的情况下，履约保证金将在合作期满后的30个工作日内无息退还。</w:t>
      </w:r>
    </w:p>
    <w:p w14:paraId="61823615">
      <w:pPr>
        <w:spacing w:line="360" w:lineRule="auto"/>
        <w:ind w:firstLine="562" w:firstLineChars="200"/>
        <w:rPr>
          <w:rFonts w:hint="eastAsia" w:ascii="仿宋" w:hAnsi="仿宋" w:eastAsia="仿宋" w:cstheme="minorBidi"/>
          <w:b/>
          <w:bCs/>
          <w:color w:val="auto"/>
          <w:kern w:val="2"/>
          <w:sz w:val="28"/>
          <w:szCs w:val="28"/>
          <w:highlight w:val="none"/>
          <w:lang w:eastAsia="zh-CN"/>
        </w:rPr>
      </w:pPr>
      <w:r>
        <w:rPr>
          <w:rFonts w:hint="eastAsia" w:ascii="仿宋" w:hAnsi="仿宋" w:eastAsia="仿宋" w:cstheme="minorBidi"/>
          <w:b/>
          <w:bCs/>
          <w:kern w:val="2"/>
          <w:sz w:val="28"/>
          <w:szCs w:val="28"/>
          <w:highlight w:val="none"/>
          <w:lang w:eastAsia="zh-CN"/>
        </w:rPr>
        <w:t>备注：五、商务要求属于实质性响应条款，参选单位均需提供承诺函加盖单位公章，格式自拟。</w:t>
      </w:r>
      <w:r>
        <w:rPr>
          <w:rFonts w:hint="eastAsia" w:ascii="仿宋" w:hAnsi="仿宋" w:eastAsia="仿宋" w:cstheme="minorBidi"/>
          <w:b/>
          <w:bCs/>
          <w:i w:val="0"/>
          <w:iCs w:val="0"/>
          <w:caps w:val="0"/>
          <w:color w:val="auto"/>
          <w:spacing w:val="0"/>
          <w:sz w:val="28"/>
          <w:szCs w:val="28"/>
          <w:highlight w:val="none"/>
          <w:shd w:val="clear" w:fill="auto"/>
        </w:rPr>
        <w:t>未满足实质性响应条款的，将被列为无效参选单位。</w:t>
      </w:r>
    </w:p>
    <w:p w14:paraId="27266BBF">
      <w:pPr>
        <w:spacing w:line="360" w:lineRule="auto"/>
        <w:ind w:firstLine="562" w:firstLineChars="200"/>
        <w:jc w:val="both"/>
        <w:rPr>
          <w:rFonts w:hint="default"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六、合作期限</w:t>
      </w:r>
    </w:p>
    <w:p w14:paraId="2B0E1F4A">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项目服务期限：1年。</w:t>
      </w:r>
    </w:p>
    <w:p w14:paraId="1A191079">
      <w:pPr>
        <w:spacing w:line="360" w:lineRule="auto"/>
        <w:ind w:firstLine="560" w:firstLineChars="200"/>
        <w:jc w:val="both"/>
        <w:rPr>
          <w:rFonts w:hint="eastAsia" w:ascii="仿宋" w:hAnsi="仿宋" w:eastAsia="仿宋"/>
          <w:sz w:val="28"/>
          <w:szCs w:val="28"/>
          <w:highlight w:val="none"/>
          <w:lang w:val="en-US" w:eastAsia="zh-CN"/>
        </w:rPr>
        <w:sectPr>
          <w:pgSz w:w="11906" w:h="16838"/>
          <w:pgMar w:top="1440" w:right="1800" w:bottom="1440" w:left="1800" w:header="851" w:footer="992" w:gutter="0"/>
          <w:pgNumType w:fmt="decimal"/>
          <w:cols w:space="425" w:num="1"/>
          <w:docGrid w:type="lines" w:linePitch="312" w:charSpace="0"/>
        </w:sectPr>
      </w:pPr>
    </w:p>
    <w:p w14:paraId="1F826AD3">
      <w:pPr>
        <w:outlineLvl w:val="0"/>
        <w:rPr>
          <w:rFonts w:ascii="仿宋" w:hAnsi="仿宋" w:eastAsia="仿宋"/>
          <w:sz w:val="28"/>
          <w:szCs w:val="28"/>
        </w:rPr>
      </w:pPr>
      <w:r>
        <w:rPr>
          <w:rFonts w:ascii="仿宋" w:hAnsi="仿宋" w:eastAsia="仿宋"/>
          <w:sz w:val="28"/>
          <w:szCs w:val="28"/>
        </w:rPr>
        <w:t>附件</w:t>
      </w:r>
      <w:r>
        <w:rPr>
          <w:rFonts w:hint="eastAsia" w:ascii="仿宋" w:hAnsi="仿宋" w:eastAsia="仿宋"/>
          <w:sz w:val="28"/>
          <w:szCs w:val="28"/>
        </w:rPr>
        <w:t>2</w:t>
      </w:r>
      <w:r>
        <w:rPr>
          <w:rFonts w:ascii="仿宋" w:hAnsi="仿宋" w:eastAsia="仿宋"/>
          <w:sz w:val="28"/>
          <w:szCs w:val="28"/>
        </w:rPr>
        <w:t>：</w:t>
      </w:r>
    </w:p>
    <w:p w14:paraId="139BEEF4">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rPr>
        <w:t>合作方案基本格式</w:t>
      </w:r>
    </w:p>
    <w:p w14:paraId="4A0D0096">
      <w:pPr>
        <w:ind w:firstLine="560" w:firstLineChars="200"/>
        <w:rPr>
          <w:rFonts w:hint="eastAsia" w:ascii="仿宋" w:hAnsi="仿宋" w:eastAsia="仿宋" w:cs="仿宋"/>
          <w:color w:val="000000"/>
          <w:sz w:val="28"/>
        </w:rPr>
      </w:pPr>
      <w:r>
        <w:rPr>
          <w:rFonts w:hint="eastAsia" w:ascii="仿宋" w:hAnsi="仿宋" w:eastAsia="仿宋" w:cs="仿宋"/>
          <w:color w:val="000000"/>
          <w:sz w:val="28"/>
        </w:rPr>
        <w:t>至少需包括(不限于)以下内容</w:t>
      </w:r>
    </w:p>
    <w:p w14:paraId="0C47E7BB">
      <w:pPr>
        <w:ind w:firstLine="560" w:firstLineChars="200"/>
        <w:rPr>
          <w:rFonts w:hint="eastAsia" w:ascii="仿宋" w:hAnsi="仿宋" w:eastAsia="仿宋" w:cs="仿宋"/>
          <w:color w:val="000000"/>
          <w:sz w:val="28"/>
        </w:rPr>
      </w:pPr>
      <w:r>
        <w:rPr>
          <w:rFonts w:hint="eastAsia" w:ascii="仿宋" w:hAnsi="仿宋" w:eastAsia="仿宋" w:cs="仿宋"/>
          <w:color w:val="000000"/>
          <w:sz w:val="28"/>
        </w:rPr>
        <w:t>1.整体服务流程；</w:t>
      </w:r>
    </w:p>
    <w:p w14:paraId="47C1757D">
      <w:pPr>
        <w:ind w:firstLine="560" w:firstLineChars="200"/>
        <w:rPr>
          <w:rFonts w:hint="eastAsia" w:ascii="仿宋" w:hAnsi="仿宋" w:eastAsia="仿宋" w:cs="仿宋"/>
          <w:color w:val="000000"/>
          <w:sz w:val="28"/>
        </w:rPr>
      </w:pPr>
      <w:r>
        <w:rPr>
          <w:rFonts w:hint="eastAsia" w:ascii="仿宋" w:hAnsi="仿宋" w:eastAsia="仿宋" w:cs="仿宋"/>
          <w:color w:val="000000"/>
          <w:sz w:val="28"/>
        </w:rPr>
        <w:t>2.标本接收方案（包括样本采集、标本收取、标本运输）；</w:t>
      </w:r>
    </w:p>
    <w:p w14:paraId="182A432A">
      <w:pPr>
        <w:ind w:firstLine="560" w:firstLineChars="200"/>
        <w:rPr>
          <w:rFonts w:hint="eastAsia" w:ascii="仿宋" w:hAnsi="仿宋" w:eastAsia="仿宋" w:cs="仿宋"/>
          <w:color w:val="000000"/>
          <w:sz w:val="28"/>
        </w:rPr>
      </w:pPr>
      <w:r>
        <w:rPr>
          <w:rFonts w:hint="eastAsia" w:ascii="仿宋" w:hAnsi="仿宋" w:eastAsia="仿宋" w:cs="仿宋"/>
          <w:color w:val="000000"/>
          <w:sz w:val="28"/>
        </w:rPr>
        <w:t>3.检测工作流程及检测结果报告方法；</w:t>
      </w:r>
    </w:p>
    <w:p w14:paraId="675D901A">
      <w:pPr>
        <w:ind w:firstLine="560" w:firstLineChars="200"/>
        <w:rPr>
          <w:rFonts w:hint="eastAsia" w:ascii="仿宋" w:hAnsi="仿宋" w:eastAsia="仿宋" w:cs="仿宋"/>
          <w:color w:val="000000"/>
          <w:sz w:val="28"/>
        </w:rPr>
      </w:pPr>
      <w:r>
        <w:rPr>
          <w:rFonts w:hint="eastAsia" w:ascii="仿宋" w:hAnsi="仿宋" w:eastAsia="仿宋" w:cs="仿宋"/>
          <w:color w:val="000000"/>
          <w:sz w:val="28"/>
        </w:rPr>
        <w:t>4.技术支持方案（至少包含孕妇追踪随访服务流程及承诺函）；</w:t>
      </w:r>
    </w:p>
    <w:p w14:paraId="3E0A7AE6">
      <w:pPr>
        <w:ind w:firstLine="560" w:firstLineChars="200"/>
        <w:rPr>
          <w:rFonts w:hint="eastAsia" w:ascii="仿宋" w:hAnsi="仿宋" w:eastAsia="仿宋" w:cs="仿宋"/>
          <w:color w:val="000000"/>
          <w:sz w:val="28"/>
        </w:rPr>
      </w:pPr>
      <w:r>
        <w:rPr>
          <w:rFonts w:hint="eastAsia" w:ascii="仿宋" w:hAnsi="仿宋" w:eastAsia="仿宋" w:cs="仿宋"/>
          <w:color w:val="000000"/>
          <w:sz w:val="28"/>
        </w:rPr>
        <w:t>5.技术培训方案；</w:t>
      </w:r>
    </w:p>
    <w:p w14:paraId="53A4F1EB">
      <w:pPr>
        <w:ind w:firstLine="560" w:firstLineChars="200"/>
        <w:rPr>
          <w:rFonts w:hint="eastAsia" w:ascii="仿宋" w:hAnsi="仿宋" w:eastAsia="仿宋" w:cs="仿宋"/>
          <w:color w:val="000000"/>
          <w:sz w:val="28"/>
        </w:rPr>
      </w:pPr>
      <w:r>
        <w:rPr>
          <w:rFonts w:hint="eastAsia" w:ascii="仿宋" w:hAnsi="仿宋" w:eastAsia="仿宋" w:cs="仿宋"/>
          <w:color w:val="000000"/>
          <w:sz w:val="28"/>
        </w:rPr>
        <w:t>6.服务质量保障措施；</w:t>
      </w:r>
    </w:p>
    <w:p w14:paraId="6FF8390E">
      <w:pPr>
        <w:ind w:firstLine="560" w:firstLineChars="200"/>
        <w:rPr>
          <w:rFonts w:hint="eastAsia" w:ascii="仿宋" w:hAnsi="仿宋" w:eastAsia="仿宋" w:cs="仿宋"/>
          <w:color w:val="000000"/>
          <w:sz w:val="28"/>
        </w:rPr>
      </w:pPr>
      <w:r>
        <w:rPr>
          <w:rFonts w:hint="eastAsia" w:ascii="仿宋" w:hAnsi="仿宋" w:eastAsia="仿宋" w:cs="仿宋"/>
          <w:color w:val="000000"/>
          <w:sz w:val="28"/>
        </w:rPr>
        <w:t>7.应急方案（结果异议、报告丢失、标本丢失、医院急诊项目服务、提供特急标本优先加急特事特办服务）；</w:t>
      </w:r>
    </w:p>
    <w:p w14:paraId="22D8AD8F">
      <w:pPr>
        <w:ind w:firstLine="560" w:firstLineChars="200"/>
        <w:rPr>
          <w:rFonts w:hint="eastAsia" w:ascii="仿宋" w:hAnsi="仿宋" w:eastAsia="仿宋" w:cs="仿宋"/>
          <w:color w:val="000000"/>
          <w:sz w:val="28"/>
        </w:rPr>
      </w:pPr>
      <w:r>
        <w:rPr>
          <w:rFonts w:hint="eastAsia" w:ascii="仿宋" w:hAnsi="仿宋" w:eastAsia="仿宋" w:cs="仿宋"/>
          <w:color w:val="000000"/>
          <w:sz w:val="28"/>
        </w:rPr>
        <w:t>8.院外拓展方案及在四川的合作医院资源；</w:t>
      </w:r>
    </w:p>
    <w:p w14:paraId="1775F1BA">
      <w:pPr>
        <w:ind w:firstLine="560" w:firstLineChars="200"/>
        <w:rPr>
          <w:rFonts w:hint="eastAsia" w:ascii="仿宋" w:hAnsi="仿宋" w:eastAsia="仿宋" w:cs="仿宋"/>
          <w:color w:val="000000"/>
          <w:sz w:val="28"/>
        </w:rPr>
      </w:pPr>
      <w:r>
        <w:rPr>
          <w:rFonts w:hint="eastAsia" w:ascii="仿宋" w:hAnsi="仿宋" w:eastAsia="仿宋" w:cs="仿宋"/>
          <w:color w:val="000000"/>
          <w:sz w:val="28"/>
        </w:rPr>
        <w:t>9.</w:t>
      </w:r>
      <w:r>
        <w:rPr>
          <w:rFonts w:hint="eastAsia" w:ascii="仿宋" w:hAnsi="仿宋" w:eastAsia="仿宋" w:cs="仿宋"/>
          <w:color w:val="000000"/>
          <w:sz w:val="28"/>
          <w:lang w:eastAsia="zh-CN"/>
        </w:rPr>
        <w:t>科研方案（</w:t>
      </w:r>
      <w:r>
        <w:rPr>
          <w:rFonts w:hint="eastAsia" w:ascii="仿宋" w:hAnsi="仿宋" w:eastAsia="仿宋" w:cs="仿宋"/>
          <w:color w:val="000000"/>
          <w:sz w:val="28"/>
        </w:rPr>
        <w:t>包括以下内容：背景、研究内容、创新性、研究方案、技术路线</w:t>
      </w:r>
      <w:r>
        <w:rPr>
          <w:rFonts w:hint="eastAsia" w:ascii="仿宋" w:hAnsi="仿宋" w:eastAsia="仿宋" w:cs="仿宋"/>
          <w:color w:val="000000"/>
          <w:sz w:val="28"/>
          <w:lang w:eastAsia="zh-CN"/>
        </w:rPr>
        <w:t>）</w:t>
      </w:r>
      <w:r>
        <w:rPr>
          <w:rFonts w:hint="eastAsia" w:ascii="仿宋" w:hAnsi="仿宋" w:eastAsia="仿宋" w:cs="仿宋"/>
          <w:color w:val="000000"/>
          <w:sz w:val="28"/>
        </w:rPr>
        <w:t>。</w:t>
      </w:r>
    </w:p>
    <w:p w14:paraId="5620D00E">
      <w:pPr>
        <w:pStyle w:val="5"/>
      </w:pPr>
    </w:p>
    <w:p w14:paraId="72C99256">
      <w:pPr>
        <w:pStyle w:val="5"/>
      </w:pPr>
    </w:p>
    <w:p w14:paraId="314CD5A0">
      <w:pPr>
        <w:pStyle w:val="5"/>
      </w:pPr>
    </w:p>
    <w:p w14:paraId="5B3B7750">
      <w:pPr>
        <w:pStyle w:val="5"/>
      </w:pPr>
    </w:p>
    <w:p w14:paraId="12274940">
      <w:pPr>
        <w:pStyle w:val="5"/>
      </w:pPr>
    </w:p>
    <w:p w14:paraId="41DE5A4A">
      <w:pPr>
        <w:pStyle w:val="5"/>
      </w:pPr>
    </w:p>
    <w:p w14:paraId="03142D8E">
      <w:pPr>
        <w:pStyle w:val="5"/>
      </w:pPr>
    </w:p>
    <w:p w14:paraId="712BB58C">
      <w:pPr>
        <w:pStyle w:val="5"/>
      </w:pPr>
    </w:p>
    <w:p w14:paraId="7000209F">
      <w:pPr>
        <w:pStyle w:val="5"/>
      </w:pPr>
    </w:p>
    <w:p w14:paraId="3EBAA837">
      <w:pPr>
        <w:pStyle w:val="5"/>
      </w:pPr>
    </w:p>
    <w:p w14:paraId="0F35DF1D">
      <w:pPr>
        <w:pStyle w:val="5"/>
      </w:pPr>
    </w:p>
    <w:p w14:paraId="35383D7F">
      <w:pPr>
        <w:pStyle w:val="5"/>
      </w:pPr>
    </w:p>
    <w:p w14:paraId="020D2860">
      <w:pPr>
        <w:pStyle w:val="5"/>
      </w:pPr>
    </w:p>
    <w:p w14:paraId="5765B64B">
      <w:pPr>
        <w:pStyle w:val="5"/>
      </w:pPr>
    </w:p>
    <w:p w14:paraId="00F08BA7">
      <w:pPr>
        <w:pStyle w:val="5"/>
      </w:pPr>
    </w:p>
    <w:p w14:paraId="29AC0D1D">
      <w:pPr>
        <w:pStyle w:val="5"/>
      </w:pPr>
    </w:p>
    <w:p w14:paraId="70523311">
      <w:pPr>
        <w:outlineLvl w:val="0"/>
        <w:rPr>
          <w:rFonts w:ascii="仿宋" w:hAnsi="仿宋" w:eastAsia="仿宋"/>
          <w:sz w:val="28"/>
          <w:szCs w:val="28"/>
        </w:rPr>
      </w:pPr>
      <w:r>
        <w:rPr>
          <w:rFonts w:ascii="仿宋" w:hAnsi="仿宋" w:eastAsia="仿宋"/>
          <w:sz w:val="28"/>
          <w:szCs w:val="28"/>
        </w:rPr>
        <w:t>附件</w:t>
      </w:r>
      <w:r>
        <w:rPr>
          <w:rFonts w:hint="eastAsia" w:ascii="仿宋" w:hAnsi="仿宋" w:eastAsia="仿宋"/>
          <w:sz w:val="28"/>
          <w:szCs w:val="28"/>
        </w:rPr>
        <w:t>3</w:t>
      </w:r>
      <w:r>
        <w:rPr>
          <w:rFonts w:ascii="仿宋" w:hAnsi="仿宋" w:eastAsia="仿宋"/>
          <w:sz w:val="28"/>
          <w:szCs w:val="28"/>
        </w:rPr>
        <w:t>：</w:t>
      </w:r>
    </w:p>
    <w:p w14:paraId="279E8197">
      <w:pPr>
        <w:adjustRightInd w:val="0"/>
        <w:snapToGrid w:val="0"/>
        <w:spacing w:line="480" w:lineRule="auto"/>
        <w:ind w:firstLine="4183" w:firstLineChars="1302"/>
        <w:rPr>
          <w:rFonts w:hint="eastAsia" w:ascii="仿宋" w:hAnsi="仿宋" w:eastAsia="仿宋" w:cstheme="minorBidi"/>
          <w:b/>
          <w:spacing w:val="0"/>
          <w:sz w:val="32"/>
          <w:szCs w:val="28"/>
          <w:lang w:eastAsia="zh-CN"/>
        </w:rPr>
      </w:pPr>
      <w:r>
        <w:rPr>
          <w:rFonts w:hint="eastAsia" w:ascii="仿宋" w:hAnsi="仿宋" w:eastAsia="仿宋" w:cstheme="minorBidi"/>
          <w:b/>
          <w:spacing w:val="0"/>
          <w:sz w:val="32"/>
          <w:szCs w:val="28"/>
          <w:lang w:eastAsia="zh-CN"/>
        </w:rPr>
        <w:t>报价</w:t>
      </w:r>
    </w:p>
    <w:tbl>
      <w:tblPr>
        <w:tblStyle w:val="17"/>
        <w:tblpPr w:leftFromText="180" w:rightFromText="180" w:vertAnchor="text" w:horzAnchor="page" w:tblpX="1460" w:tblpY="224"/>
        <w:tblOverlap w:val="never"/>
        <w:tblW w:w="9815" w:type="dxa"/>
        <w:tblInd w:w="0" w:type="dxa"/>
        <w:tblLayout w:type="fixed"/>
        <w:tblCellMar>
          <w:top w:w="0" w:type="dxa"/>
          <w:left w:w="10" w:type="dxa"/>
          <w:bottom w:w="0" w:type="dxa"/>
          <w:right w:w="10" w:type="dxa"/>
        </w:tblCellMar>
      </w:tblPr>
      <w:tblGrid>
        <w:gridCol w:w="2657"/>
        <w:gridCol w:w="3858"/>
        <w:gridCol w:w="3300"/>
      </w:tblGrid>
      <w:tr w14:paraId="120DEC7E">
        <w:tblPrEx>
          <w:tblCellMar>
            <w:top w:w="0" w:type="dxa"/>
            <w:left w:w="10" w:type="dxa"/>
            <w:bottom w:w="0" w:type="dxa"/>
            <w:right w:w="10" w:type="dxa"/>
          </w:tblCellMar>
        </w:tblPrEx>
        <w:trPr>
          <w:trHeight w:val="1936" w:hRule="atLeast"/>
        </w:trPr>
        <w:tc>
          <w:tcPr>
            <w:tcW w:w="2657" w:type="dxa"/>
            <w:tcBorders>
              <w:top w:val="single" w:color="000000" w:sz="8" w:space="0"/>
              <w:left w:val="single" w:color="000000" w:sz="0" w:space="0"/>
              <w:bottom w:val="single" w:color="000000" w:sz="8" w:space="0"/>
              <w:right w:val="single" w:color="000000" w:sz="8" w:space="0"/>
            </w:tcBorders>
            <w:shd w:val="clear" w:color="000000" w:fill="FFFFFF"/>
            <w:tcMar>
              <w:left w:w="108" w:type="dxa"/>
              <w:right w:w="108" w:type="dxa"/>
            </w:tcMar>
            <w:vAlign w:val="center"/>
          </w:tcPr>
          <w:p w14:paraId="34700022">
            <w:pPr>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项目</w:t>
            </w:r>
          </w:p>
        </w:tc>
        <w:tc>
          <w:tcPr>
            <w:tcW w:w="3858" w:type="dxa"/>
            <w:tcBorders>
              <w:top w:val="single" w:color="000000" w:sz="8" w:space="0"/>
              <w:left w:val="single" w:color="000000" w:sz="0" w:space="0"/>
              <w:bottom w:val="single" w:color="000000" w:sz="8" w:space="0"/>
              <w:right w:val="single" w:color="000000" w:sz="8" w:space="0"/>
            </w:tcBorders>
            <w:shd w:val="clear" w:color="000000" w:fill="FFFFFF"/>
            <w:tcMar>
              <w:left w:w="108" w:type="dxa"/>
              <w:right w:w="108" w:type="dxa"/>
            </w:tcMar>
            <w:vAlign w:val="center"/>
          </w:tcPr>
          <w:p w14:paraId="7BBFAA74">
            <w:pPr>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报价</w:t>
            </w:r>
          </w:p>
        </w:tc>
        <w:tc>
          <w:tcPr>
            <w:tcW w:w="3300" w:type="dxa"/>
            <w:tcBorders>
              <w:top w:val="single" w:color="000000" w:sz="8" w:space="0"/>
              <w:left w:val="single" w:color="000000" w:sz="0" w:space="0"/>
              <w:bottom w:val="single" w:color="000000" w:sz="8" w:space="0"/>
              <w:right w:val="single" w:color="000000" w:sz="8" w:space="0"/>
            </w:tcBorders>
            <w:shd w:val="clear" w:color="000000" w:fill="FFFFFF"/>
            <w:tcMar>
              <w:left w:w="108" w:type="dxa"/>
              <w:right w:w="108" w:type="dxa"/>
            </w:tcMar>
            <w:vAlign w:val="center"/>
          </w:tcPr>
          <w:p w14:paraId="646583E5">
            <w:pPr>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备注</w:t>
            </w:r>
          </w:p>
        </w:tc>
      </w:tr>
      <w:tr w14:paraId="5A5AE84D">
        <w:tblPrEx>
          <w:tblCellMar>
            <w:top w:w="0" w:type="dxa"/>
            <w:left w:w="10" w:type="dxa"/>
            <w:bottom w:w="0" w:type="dxa"/>
            <w:right w:w="10" w:type="dxa"/>
          </w:tblCellMar>
        </w:tblPrEx>
        <w:trPr>
          <w:trHeight w:val="2153" w:hRule="atLeast"/>
        </w:trPr>
        <w:tc>
          <w:tcPr>
            <w:tcW w:w="2657" w:type="dxa"/>
            <w:vMerge w:val="restart"/>
            <w:tcBorders>
              <w:top w:val="single" w:color="000000" w:sz="0" w:space="0"/>
              <w:left w:val="single" w:color="000000" w:sz="0" w:space="0"/>
              <w:right w:val="single" w:color="000000" w:sz="8" w:space="0"/>
            </w:tcBorders>
            <w:shd w:val="clear" w:color="000000" w:fill="FFFFFF"/>
            <w:tcMar>
              <w:left w:w="108" w:type="dxa"/>
              <w:right w:w="108" w:type="dxa"/>
            </w:tcMar>
            <w:vAlign w:val="center"/>
          </w:tcPr>
          <w:p w14:paraId="7A39D5E9">
            <w:pPr>
              <w:spacing w:line="360" w:lineRule="auto"/>
              <w:jc w:val="both"/>
              <w:rPr>
                <w:rFonts w:hint="eastAsia" w:ascii="仿宋" w:hAnsi="仿宋" w:eastAsia="仿宋"/>
                <w:sz w:val="24"/>
                <w:szCs w:val="24"/>
                <w:highlight w:val="none"/>
                <w:lang w:val="en-US" w:eastAsia="zh-CN"/>
              </w:rPr>
            </w:pPr>
            <w:r>
              <w:rPr>
                <w:rFonts w:hint="eastAsia" w:ascii="仿宋" w:hAnsi="仿宋" w:eastAsia="仿宋"/>
                <w:sz w:val="24"/>
                <w:szCs w:val="24"/>
                <w:highlight w:val="none"/>
                <w:lang w:val="en-US" w:eastAsia="zh-CN"/>
              </w:rPr>
              <w:t>孕妇外周血血浆游离DNA全基因组染色体高通量测序分析项目院外合作医院体系综合服务</w:t>
            </w:r>
          </w:p>
        </w:tc>
        <w:tc>
          <w:tcPr>
            <w:tcW w:w="3858" w:type="dxa"/>
            <w:tcBorders>
              <w:top w:val="single" w:color="000000" w:sz="0" w:space="0"/>
              <w:left w:val="single" w:color="000000" w:sz="0" w:space="0"/>
              <w:bottom w:val="single" w:color="auto" w:sz="4" w:space="0"/>
              <w:right w:val="single" w:color="000000" w:sz="8" w:space="0"/>
            </w:tcBorders>
            <w:shd w:val="clear" w:color="000000" w:fill="FFFFFF"/>
            <w:tcMar>
              <w:left w:w="108" w:type="dxa"/>
              <w:right w:w="108" w:type="dxa"/>
            </w:tcMar>
            <w:vAlign w:val="center"/>
          </w:tcPr>
          <w:p w14:paraId="17C0B634">
            <w:pPr>
              <w:spacing w:line="360" w:lineRule="auto"/>
              <w:jc w:val="both"/>
              <w:rPr>
                <w:rFonts w:hint="default" w:ascii="仿宋" w:hAnsi="仿宋" w:eastAsia="仿宋"/>
                <w:sz w:val="24"/>
                <w:szCs w:val="24"/>
                <w:highlight w:val="none"/>
                <w:lang w:val="en-US" w:eastAsia="zh-CN"/>
              </w:rPr>
            </w:pPr>
            <w:r>
              <w:rPr>
                <w:rFonts w:hint="eastAsia" w:ascii="仿宋" w:hAnsi="仿宋" w:eastAsia="仿宋"/>
                <w:sz w:val="24"/>
                <w:szCs w:val="24"/>
                <w:highlight w:val="none"/>
                <w:lang w:val="en-US" w:eastAsia="zh-CN"/>
              </w:rPr>
              <w:t>1.院外产诊产筛医院模式：我院每例收益占四川省各地物价收费标准的比例为</w:t>
            </w:r>
            <w:r>
              <w:rPr>
                <w:rFonts w:hint="eastAsia" w:ascii="仿宋" w:hAnsi="仿宋" w:eastAsia="仿宋"/>
                <w:sz w:val="24"/>
                <w:szCs w:val="24"/>
                <w:highlight w:val="none"/>
                <w:u w:val="single"/>
                <w:lang w:val="en-US" w:eastAsia="zh-CN"/>
              </w:rPr>
              <w:t xml:space="preserve">        </w:t>
            </w:r>
            <w:r>
              <w:rPr>
                <w:rFonts w:hint="eastAsia" w:ascii="仿宋" w:hAnsi="仿宋" w:eastAsia="仿宋"/>
                <w:sz w:val="24"/>
                <w:szCs w:val="24"/>
                <w:highlight w:val="none"/>
                <w:lang w:val="en-US" w:eastAsia="zh-CN"/>
              </w:rPr>
              <w:t xml:space="preserve"> %</w:t>
            </w:r>
          </w:p>
          <w:p w14:paraId="653844B1">
            <w:pPr>
              <w:spacing w:line="360" w:lineRule="auto"/>
              <w:jc w:val="both"/>
              <w:rPr>
                <w:rFonts w:hint="eastAsia" w:ascii="仿宋" w:hAnsi="仿宋" w:eastAsia="仿宋"/>
                <w:sz w:val="24"/>
                <w:szCs w:val="24"/>
                <w:highlight w:val="none"/>
                <w:lang w:val="en-US" w:eastAsia="zh-CN"/>
              </w:rPr>
            </w:pPr>
          </w:p>
        </w:tc>
        <w:tc>
          <w:tcPr>
            <w:tcW w:w="3300" w:type="dxa"/>
            <w:tcBorders>
              <w:top w:val="single" w:color="000000" w:sz="0" w:space="0"/>
              <w:left w:val="single" w:color="000000" w:sz="0" w:space="0"/>
              <w:bottom w:val="single" w:color="auto" w:sz="4" w:space="0"/>
              <w:right w:val="single" w:color="000000" w:sz="8" w:space="0"/>
            </w:tcBorders>
            <w:shd w:val="clear" w:color="000000" w:fill="FFFFFF"/>
            <w:tcMar>
              <w:left w:w="108" w:type="dxa"/>
              <w:right w:w="108" w:type="dxa"/>
            </w:tcMar>
            <w:vAlign w:val="center"/>
          </w:tcPr>
          <w:p w14:paraId="4D036900">
            <w:pPr>
              <w:spacing w:line="360" w:lineRule="auto"/>
              <w:jc w:val="both"/>
              <w:rPr>
                <w:rFonts w:hint="eastAsia" w:ascii="仿宋" w:hAnsi="仿宋" w:eastAsia="仿宋"/>
                <w:sz w:val="24"/>
                <w:szCs w:val="24"/>
                <w:highlight w:val="none"/>
                <w:lang w:val="en-US" w:eastAsia="zh-CN"/>
              </w:rPr>
            </w:pPr>
          </w:p>
        </w:tc>
      </w:tr>
      <w:tr w14:paraId="0BA0885D">
        <w:tblPrEx>
          <w:tblCellMar>
            <w:top w:w="0" w:type="dxa"/>
            <w:left w:w="10" w:type="dxa"/>
            <w:bottom w:w="0" w:type="dxa"/>
            <w:right w:w="10" w:type="dxa"/>
          </w:tblCellMar>
        </w:tblPrEx>
        <w:trPr>
          <w:trHeight w:val="1479" w:hRule="atLeast"/>
        </w:trPr>
        <w:tc>
          <w:tcPr>
            <w:tcW w:w="2657" w:type="dxa"/>
            <w:vMerge w:val="continue"/>
            <w:tcBorders>
              <w:left w:val="single" w:color="000000" w:sz="0" w:space="0"/>
              <w:bottom w:val="single" w:color="000000" w:sz="8" w:space="0"/>
              <w:right w:val="single" w:color="000000" w:sz="8" w:space="0"/>
            </w:tcBorders>
            <w:shd w:val="clear" w:color="000000" w:fill="FFFFFF"/>
            <w:tcMar>
              <w:left w:w="108" w:type="dxa"/>
              <w:right w:w="108" w:type="dxa"/>
            </w:tcMar>
            <w:vAlign w:val="center"/>
          </w:tcPr>
          <w:p w14:paraId="31DD4DEF">
            <w:pPr>
              <w:spacing w:line="360" w:lineRule="auto"/>
              <w:ind w:firstLine="480" w:firstLineChars="200"/>
              <w:jc w:val="both"/>
              <w:rPr>
                <w:rFonts w:hint="eastAsia" w:ascii="仿宋" w:hAnsi="仿宋" w:eastAsia="仿宋"/>
                <w:sz w:val="24"/>
                <w:szCs w:val="24"/>
                <w:highlight w:val="none"/>
                <w:lang w:val="en-US" w:eastAsia="zh-CN"/>
              </w:rPr>
            </w:pPr>
          </w:p>
        </w:tc>
        <w:tc>
          <w:tcPr>
            <w:tcW w:w="3858" w:type="dxa"/>
            <w:tcBorders>
              <w:top w:val="single" w:color="auto" w:sz="4" w:space="0"/>
              <w:left w:val="single" w:color="000000" w:sz="0" w:space="0"/>
              <w:bottom w:val="single" w:color="000000" w:sz="8" w:space="0"/>
              <w:right w:val="single" w:color="000000" w:sz="8" w:space="0"/>
            </w:tcBorders>
            <w:shd w:val="clear" w:color="000000" w:fill="FFFFFF"/>
            <w:tcMar>
              <w:left w:w="108" w:type="dxa"/>
              <w:right w:w="108" w:type="dxa"/>
            </w:tcMar>
            <w:vAlign w:val="center"/>
          </w:tcPr>
          <w:p w14:paraId="3BE5EA7D">
            <w:pPr>
              <w:spacing w:line="360" w:lineRule="auto"/>
              <w:jc w:val="both"/>
              <w:rPr>
                <w:rFonts w:hint="eastAsia" w:ascii="仿宋" w:hAnsi="仿宋" w:eastAsia="仿宋"/>
                <w:sz w:val="24"/>
                <w:szCs w:val="24"/>
                <w:highlight w:val="none"/>
                <w:lang w:val="en-US" w:eastAsia="zh-CN"/>
              </w:rPr>
            </w:pPr>
            <w:r>
              <w:rPr>
                <w:rFonts w:hint="eastAsia" w:ascii="仿宋" w:hAnsi="仿宋" w:eastAsia="仿宋"/>
                <w:sz w:val="24"/>
                <w:szCs w:val="24"/>
                <w:highlight w:val="none"/>
                <w:lang w:val="en-US" w:eastAsia="zh-CN"/>
              </w:rPr>
              <w:t xml:space="preserve">2.院外非资质医院转诊模式：我院每例收益占四川省三甲医院物价收费标准的比例为 </w:t>
            </w:r>
            <w:r>
              <w:rPr>
                <w:rFonts w:hint="eastAsia" w:ascii="仿宋" w:hAnsi="仿宋" w:eastAsia="仿宋"/>
                <w:sz w:val="24"/>
                <w:szCs w:val="24"/>
                <w:highlight w:val="none"/>
                <w:u w:val="single"/>
                <w:lang w:val="en-US" w:eastAsia="zh-CN"/>
              </w:rPr>
              <w:t xml:space="preserve">        </w:t>
            </w:r>
            <w:r>
              <w:rPr>
                <w:rFonts w:hint="eastAsia" w:ascii="仿宋" w:hAnsi="仿宋" w:eastAsia="仿宋"/>
                <w:sz w:val="24"/>
                <w:szCs w:val="24"/>
                <w:highlight w:val="none"/>
                <w:lang w:val="en-US" w:eastAsia="zh-CN"/>
              </w:rPr>
              <w:t>%</w:t>
            </w:r>
          </w:p>
          <w:p w14:paraId="32389C21">
            <w:pPr>
              <w:spacing w:line="360" w:lineRule="auto"/>
              <w:ind w:firstLine="480" w:firstLineChars="200"/>
              <w:jc w:val="both"/>
              <w:rPr>
                <w:rFonts w:hint="eastAsia" w:ascii="仿宋" w:hAnsi="仿宋" w:eastAsia="仿宋"/>
                <w:sz w:val="24"/>
                <w:szCs w:val="24"/>
                <w:highlight w:val="none"/>
                <w:lang w:val="en-US" w:eastAsia="zh-CN"/>
              </w:rPr>
            </w:pPr>
          </w:p>
        </w:tc>
        <w:tc>
          <w:tcPr>
            <w:tcW w:w="3300" w:type="dxa"/>
            <w:tcBorders>
              <w:top w:val="single" w:color="auto" w:sz="4" w:space="0"/>
              <w:left w:val="single" w:color="000000" w:sz="0" w:space="0"/>
              <w:bottom w:val="single" w:color="000000" w:sz="8" w:space="0"/>
              <w:right w:val="single" w:color="000000" w:sz="8" w:space="0"/>
            </w:tcBorders>
            <w:shd w:val="clear" w:color="000000" w:fill="FFFFFF"/>
            <w:tcMar>
              <w:left w:w="108" w:type="dxa"/>
              <w:right w:w="108" w:type="dxa"/>
            </w:tcMar>
            <w:vAlign w:val="center"/>
          </w:tcPr>
          <w:p w14:paraId="29C05FE0">
            <w:pPr>
              <w:spacing w:line="360" w:lineRule="auto"/>
              <w:ind w:firstLine="480" w:firstLineChars="200"/>
              <w:jc w:val="both"/>
              <w:rPr>
                <w:rFonts w:hint="eastAsia" w:ascii="仿宋" w:hAnsi="仿宋" w:eastAsia="仿宋"/>
                <w:sz w:val="24"/>
                <w:szCs w:val="24"/>
                <w:highlight w:val="none"/>
                <w:lang w:val="en-US" w:eastAsia="zh-CN"/>
              </w:rPr>
            </w:pPr>
          </w:p>
        </w:tc>
      </w:tr>
    </w:tbl>
    <w:p w14:paraId="362DC2FE">
      <w:pPr>
        <w:adjustRightInd w:val="0"/>
        <w:snapToGrid w:val="0"/>
        <w:spacing w:line="480" w:lineRule="auto"/>
        <w:ind w:firstLine="3219" w:firstLineChars="1002"/>
        <w:rPr>
          <w:rFonts w:hint="eastAsia" w:ascii="仿宋" w:hAnsi="仿宋" w:eastAsia="仿宋" w:cstheme="minorBidi"/>
          <w:b/>
          <w:spacing w:val="0"/>
          <w:sz w:val="32"/>
          <w:szCs w:val="28"/>
          <w:lang w:eastAsia="zh-CN"/>
        </w:rPr>
      </w:pPr>
    </w:p>
    <w:p w14:paraId="704A720B">
      <w:pPr>
        <w:spacing w:line="360" w:lineRule="auto"/>
        <w:ind w:firstLine="480" w:firstLineChars="200"/>
        <w:jc w:val="both"/>
        <w:rPr>
          <w:rFonts w:hint="eastAsia" w:ascii="仿宋" w:hAnsi="仿宋" w:eastAsia="仿宋"/>
          <w:b w:val="0"/>
          <w:bCs w:val="0"/>
          <w:sz w:val="24"/>
          <w:szCs w:val="24"/>
          <w:highlight w:val="none"/>
          <w:lang w:val="en-US" w:eastAsia="zh-CN"/>
        </w:rPr>
      </w:pPr>
      <w:r>
        <w:rPr>
          <w:rFonts w:hint="eastAsia" w:ascii="仿宋" w:hAnsi="仿宋" w:eastAsia="仿宋"/>
          <w:b w:val="0"/>
          <w:bCs w:val="0"/>
          <w:sz w:val="24"/>
          <w:szCs w:val="24"/>
          <w:highlight w:val="none"/>
          <w:lang w:val="en-US" w:eastAsia="zh-CN"/>
        </w:rPr>
        <w:t>报价要求：</w:t>
      </w:r>
    </w:p>
    <w:p w14:paraId="1FF7CDA7">
      <w:pPr>
        <w:spacing w:line="360" w:lineRule="auto"/>
        <w:ind w:firstLine="480" w:firstLineChars="200"/>
        <w:jc w:val="both"/>
        <w:rPr>
          <w:rFonts w:hint="default" w:ascii="仿宋" w:hAnsi="仿宋" w:eastAsia="仿宋"/>
          <w:b w:val="0"/>
          <w:bCs w:val="0"/>
          <w:sz w:val="24"/>
          <w:szCs w:val="24"/>
          <w:highlight w:val="none"/>
          <w:lang w:val="en-US" w:eastAsia="zh-CN"/>
        </w:rPr>
      </w:pPr>
      <w:r>
        <w:rPr>
          <w:rFonts w:hint="eastAsia" w:ascii="仿宋" w:hAnsi="仿宋" w:eastAsia="仿宋"/>
          <w:b w:val="0"/>
          <w:bCs w:val="0"/>
          <w:sz w:val="24"/>
          <w:szCs w:val="24"/>
          <w:highlight w:val="none"/>
          <w:lang w:val="en-US" w:eastAsia="zh-CN"/>
        </w:rPr>
        <w:t>1.院外产诊产筛医院模式：我院在本项目合作下的每一例收益分配不低于本项目在四川省各地物价收费标准的20%。</w:t>
      </w:r>
    </w:p>
    <w:p w14:paraId="742BA7F8">
      <w:pPr>
        <w:spacing w:line="360" w:lineRule="auto"/>
        <w:ind w:firstLine="480" w:firstLineChars="200"/>
        <w:jc w:val="both"/>
        <w:rPr>
          <w:rFonts w:hint="eastAsia" w:ascii="仿宋" w:hAnsi="仿宋" w:eastAsia="仿宋"/>
          <w:b w:val="0"/>
          <w:bCs w:val="0"/>
          <w:sz w:val="24"/>
          <w:szCs w:val="24"/>
          <w:highlight w:val="none"/>
          <w:lang w:val="en-US" w:eastAsia="zh-CN"/>
        </w:rPr>
      </w:pPr>
      <w:r>
        <w:rPr>
          <w:rFonts w:hint="eastAsia" w:ascii="仿宋" w:hAnsi="仿宋" w:eastAsia="仿宋"/>
          <w:b w:val="0"/>
          <w:bCs w:val="0"/>
          <w:sz w:val="24"/>
          <w:szCs w:val="24"/>
          <w:highlight w:val="none"/>
          <w:lang w:val="en-US" w:eastAsia="zh-CN"/>
        </w:rPr>
        <w:t>2.院外非资质医院转诊模式：我院在本项目合作下的每一例收益分配不低于四川省三甲医院物价收费标准的35%。</w:t>
      </w:r>
    </w:p>
    <w:p w14:paraId="33E95CF1">
      <w:pPr>
        <w:spacing w:line="360" w:lineRule="auto"/>
        <w:ind w:firstLine="480" w:firstLineChars="200"/>
        <w:jc w:val="both"/>
        <w:rPr>
          <w:rFonts w:hint="eastAsia" w:ascii="仿宋" w:hAnsi="仿宋" w:eastAsia="仿宋"/>
          <w:b w:val="0"/>
          <w:bCs w:val="0"/>
          <w:sz w:val="24"/>
          <w:szCs w:val="24"/>
          <w:highlight w:val="none"/>
          <w:lang w:val="en-US" w:eastAsia="zh-CN"/>
        </w:rPr>
      </w:pPr>
    </w:p>
    <w:p w14:paraId="38B81175">
      <w:pPr>
        <w:spacing w:line="360" w:lineRule="auto"/>
        <w:ind w:firstLine="480" w:firstLineChars="200"/>
        <w:jc w:val="both"/>
        <w:rPr>
          <w:rFonts w:hint="eastAsia" w:ascii="仿宋" w:hAnsi="仿宋" w:eastAsia="仿宋"/>
          <w:b w:val="0"/>
          <w:bCs w:val="0"/>
          <w:sz w:val="24"/>
          <w:szCs w:val="24"/>
          <w:highlight w:val="none"/>
          <w:lang w:val="en-US" w:eastAsia="zh-CN"/>
        </w:rPr>
      </w:pPr>
    </w:p>
    <w:p w14:paraId="342949A0">
      <w:pPr>
        <w:spacing w:line="360" w:lineRule="auto"/>
        <w:ind w:firstLine="480" w:firstLineChars="200"/>
        <w:jc w:val="both"/>
        <w:rPr>
          <w:rFonts w:hint="eastAsia" w:ascii="仿宋" w:hAnsi="仿宋" w:eastAsia="仿宋"/>
          <w:b w:val="0"/>
          <w:bCs w:val="0"/>
          <w:sz w:val="24"/>
          <w:szCs w:val="24"/>
          <w:highlight w:val="none"/>
          <w:lang w:val="en-US" w:eastAsia="zh-CN"/>
        </w:rPr>
      </w:pPr>
    </w:p>
    <w:p w14:paraId="48CEB3B0">
      <w:pPr>
        <w:spacing w:line="360" w:lineRule="auto"/>
        <w:ind w:firstLine="480" w:firstLineChars="200"/>
        <w:jc w:val="both"/>
        <w:rPr>
          <w:rFonts w:hint="eastAsia" w:ascii="仿宋" w:hAnsi="仿宋" w:eastAsia="仿宋"/>
          <w:b w:val="0"/>
          <w:bCs w:val="0"/>
          <w:sz w:val="24"/>
          <w:szCs w:val="24"/>
          <w:highlight w:val="none"/>
          <w:lang w:val="en-US" w:eastAsia="zh-CN"/>
        </w:rPr>
      </w:pPr>
    </w:p>
    <w:p w14:paraId="4AF1F0EE">
      <w:pPr>
        <w:pStyle w:val="2"/>
        <w:rPr>
          <w:rFonts w:hint="eastAsia"/>
          <w:lang w:val="en-US" w:eastAsia="zh-CN"/>
        </w:rPr>
      </w:pPr>
    </w:p>
    <w:p w14:paraId="580C6F7F">
      <w:pPr>
        <w:keepNext w:val="0"/>
        <w:keepLines w:val="0"/>
        <w:widowControl/>
        <w:suppressLineNumbers w:val="0"/>
        <w:jc w:val="left"/>
        <w:textAlignment w:val="center"/>
        <w:rPr>
          <w:rFonts w:hint="eastAsia" w:ascii="仿宋" w:hAnsi="仿宋" w:eastAsia="仿宋" w:cs="仿宋"/>
          <w:b/>
          <w:bCs/>
          <w:kern w:val="2"/>
          <w:sz w:val="24"/>
          <w:szCs w:val="24"/>
          <w:highlight w:val="none"/>
          <w:lang w:val="en-US" w:eastAsia="zh-CN" w:bidi="ar-SA"/>
        </w:rPr>
      </w:pPr>
    </w:p>
    <w:p w14:paraId="200932ED">
      <w:pPr>
        <w:pStyle w:val="5"/>
        <w:rPr>
          <w:b/>
          <w:bCs/>
        </w:rPr>
      </w:pPr>
    </w:p>
    <w:p w14:paraId="1AD25079">
      <w:pPr>
        <w:outlineLvl w:val="0"/>
        <w:rPr>
          <w:rFonts w:ascii="仿宋" w:hAnsi="仿宋" w:eastAsia="仿宋"/>
          <w:sz w:val="28"/>
          <w:szCs w:val="28"/>
        </w:rPr>
      </w:pPr>
      <w:r>
        <w:rPr>
          <w:rFonts w:ascii="仿宋" w:hAnsi="仿宋" w:eastAsia="仿宋"/>
          <w:sz w:val="28"/>
          <w:szCs w:val="28"/>
        </w:rPr>
        <w:t>附件</w:t>
      </w:r>
      <w:r>
        <w:rPr>
          <w:rFonts w:hint="eastAsia" w:ascii="仿宋" w:hAnsi="仿宋" w:eastAsia="仿宋"/>
          <w:sz w:val="28"/>
          <w:szCs w:val="28"/>
          <w:lang w:val="en-US" w:eastAsia="zh-CN"/>
        </w:rPr>
        <w:t>4</w:t>
      </w:r>
      <w:r>
        <w:rPr>
          <w:rFonts w:ascii="仿宋" w:hAnsi="仿宋" w:eastAsia="仿宋"/>
          <w:sz w:val="28"/>
          <w:szCs w:val="28"/>
        </w:rPr>
        <w:t>：</w:t>
      </w:r>
    </w:p>
    <w:p w14:paraId="206D5CAD">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rPr>
        <w:t>参选方案文件书装订顺序</w:t>
      </w:r>
    </w:p>
    <w:p w14:paraId="29DA4A9D">
      <w:pPr>
        <w:ind w:firstLine="618" w:firstLineChars="221"/>
        <w:rPr>
          <w:rFonts w:ascii="仿宋" w:hAnsi="仿宋" w:eastAsia="仿宋"/>
          <w:sz w:val="28"/>
          <w:szCs w:val="28"/>
        </w:rPr>
      </w:pPr>
    </w:p>
    <w:p w14:paraId="244C338D">
      <w:pPr>
        <w:ind w:firstLine="618" w:firstLineChars="221"/>
        <w:rPr>
          <w:rFonts w:hint="eastAsia" w:ascii="仿宋" w:hAnsi="仿宋" w:eastAsia="仿宋"/>
          <w:sz w:val="28"/>
          <w:szCs w:val="28"/>
          <w:lang w:eastAsia="zh-CN"/>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封面（</w:t>
      </w:r>
      <w:r>
        <w:rPr>
          <w:rFonts w:hint="eastAsia" w:ascii="仿宋" w:hAnsi="仿宋" w:eastAsia="仿宋"/>
          <w:sz w:val="28"/>
          <w:szCs w:val="28"/>
        </w:rPr>
        <w:t>注明</w:t>
      </w:r>
      <w:r>
        <w:rPr>
          <w:rFonts w:hint="eastAsia" w:ascii="仿宋" w:hAnsi="仿宋" w:eastAsia="仿宋"/>
          <w:b/>
          <w:sz w:val="28"/>
          <w:szCs w:val="28"/>
        </w:rPr>
        <w:t>项目名称及包号</w:t>
      </w:r>
      <w:r>
        <w:rPr>
          <w:rFonts w:hint="eastAsia" w:ascii="仿宋" w:hAnsi="仿宋" w:eastAsia="仿宋"/>
          <w:sz w:val="28"/>
          <w:szCs w:val="28"/>
        </w:rPr>
        <w:t>、公司名称</w:t>
      </w:r>
      <w:r>
        <w:rPr>
          <w:rFonts w:ascii="仿宋" w:hAnsi="仿宋" w:eastAsia="仿宋"/>
          <w:sz w:val="28"/>
          <w:szCs w:val="28"/>
        </w:rPr>
        <w:t>、联系人、联系</w:t>
      </w:r>
      <w:r>
        <w:rPr>
          <w:rFonts w:hint="eastAsia" w:ascii="仿宋" w:hAnsi="仿宋" w:eastAsia="仿宋"/>
          <w:sz w:val="28"/>
          <w:szCs w:val="28"/>
        </w:rPr>
        <w:t>电话、加盖公司印章</w:t>
      </w:r>
      <w:r>
        <w:rPr>
          <w:rFonts w:ascii="仿宋" w:hAnsi="仿宋" w:eastAsia="仿宋"/>
          <w:sz w:val="28"/>
          <w:szCs w:val="28"/>
        </w:rPr>
        <w:t>）</w:t>
      </w:r>
      <w:r>
        <w:rPr>
          <w:rFonts w:hint="eastAsia" w:ascii="仿宋" w:hAnsi="仿宋" w:eastAsia="仿宋"/>
          <w:sz w:val="28"/>
          <w:szCs w:val="28"/>
          <w:lang w:eastAsia="zh-CN"/>
        </w:rPr>
        <w:t>。</w:t>
      </w:r>
    </w:p>
    <w:p w14:paraId="2F017BCA">
      <w:pPr>
        <w:ind w:firstLine="560" w:firstLineChars="200"/>
        <w:rPr>
          <w:rFonts w:hint="eastAsia" w:ascii="仿宋" w:hAnsi="仿宋" w:eastAsia="仿宋"/>
          <w:sz w:val="28"/>
          <w:szCs w:val="28"/>
          <w:lang w:eastAsia="zh-CN"/>
        </w:rPr>
      </w:pP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目录</w:t>
      </w:r>
      <w:r>
        <w:rPr>
          <w:rFonts w:hint="eastAsia" w:ascii="仿宋" w:hAnsi="仿宋" w:eastAsia="仿宋"/>
          <w:sz w:val="28"/>
          <w:szCs w:val="28"/>
          <w:lang w:eastAsia="zh-CN"/>
        </w:rPr>
        <w:t>。</w:t>
      </w:r>
    </w:p>
    <w:p w14:paraId="6B9D2140">
      <w:pPr>
        <w:ind w:firstLine="560" w:firstLineChars="200"/>
        <w:rPr>
          <w:rFonts w:hint="eastAsia" w:ascii="仿宋" w:hAnsi="仿宋" w:eastAsia="仿宋"/>
          <w:sz w:val="28"/>
          <w:szCs w:val="28"/>
          <w:lang w:eastAsia="zh-CN"/>
        </w:rPr>
      </w:pPr>
      <w:r>
        <w:rPr>
          <w:rFonts w:hint="eastAsia" w:ascii="仿宋" w:hAnsi="仿宋" w:eastAsia="仿宋"/>
          <w:sz w:val="28"/>
          <w:szCs w:val="28"/>
        </w:rPr>
        <w:t>3.有效的资质证</w:t>
      </w:r>
      <w:r>
        <w:rPr>
          <w:rFonts w:hint="eastAsia" w:ascii="仿宋" w:hAnsi="仿宋" w:eastAsia="仿宋"/>
          <w:sz w:val="28"/>
          <w:szCs w:val="28"/>
          <w:lang w:val="en-US" w:eastAsia="zh-CN"/>
        </w:rPr>
        <w:t>明</w:t>
      </w:r>
      <w:r>
        <w:rPr>
          <w:rFonts w:hint="eastAsia" w:ascii="仿宋" w:hAnsi="仿宋" w:eastAsia="仿宋"/>
          <w:sz w:val="28"/>
          <w:szCs w:val="28"/>
        </w:rPr>
        <w:t>文件（</w:t>
      </w:r>
      <w:r>
        <w:rPr>
          <w:rFonts w:hint="eastAsia" w:ascii="仿宋" w:hAnsi="仿宋" w:eastAsia="仿宋"/>
          <w:sz w:val="28"/>
          <w:szCs w:val="28"/>
          <w:lang w:val="en-US" w:eastAsia="zh-CN"/>
        </w:rPr>
        <w:t>按附件1 三、资质要求 顺序装订</w:t>
      </w:r>
      <w:r>
        <w:rPr>
          <w:rFonts w:hint="eastAsia" w:ascii="仿宋" w:hAnsi="仿宋" w:eastAsia="仿宋"/>
          <w:sz w:val="28"/>
          <w:szCs w:val="28"/>
        </w:rPr>
        <w:t>）</w:t>
      </w:r>
      <w:r>
        <w:rPr>
          <w:rFonts w:hint="eastAsia" w:ascii="仿宋" w:hAnsi="仿宋" w:eastAsia="仿宋"/>
          <w:sz w:val="28"/>
          <w:szCs w:val="28"/>
          <w:lang w:eastAsia="zh-CN"/>
        </w:rPr>
        <w:t>。</w:t>
      </w:r>
    </w:p>
    <w:p w14:paraId="64766FA2">
      <w:pPr>
        <w:ind w:firstLine="560" w:firstLineChars="200"/>
        <w:rPr>
          <w:rFonts w:hint="eastAsia" w:ascii="仿宋" w:hAnsi="仿宋" w:eastAsia="仿宋"/>
          <w:color w:val="000000" w:themeColor="text1"/>
          <w:sz w:val="28"/>
          <w:szCs w:val="28"/>
          <w:lang w:eastAsia="zh-CN"/>
          <w14:textFill>
            <w14:solidFill>
              <w14:schemeClr w14:val="tx1"/>
            </w14:solidFill>
          </w14:textFill>
        </w:rPr>
      </w:pPr>
      <w:r>
        <w:rPr>
          <w:rFonts w:hint="eastAsia" w:ascii="仿宋" w:hAnsi="仿宋" w:eastAsia="仿宋"/>
          <w:sz w:val="28"/>
          <w:szCs w:val="28"/>
          <w:lang w:val="en-US" w:eastAsia="zh-CN"/>
        </w:rPr>
        <w:t>4</w:t>
      </w:r>
      <w:r>
        <w:rPr>
          <w:rFonts w:hint="eastAsia" w:ascii="仿宋" w:hAnsi="仿宋" w:eastAsia="仿宋"/>
          <w:sz w:val="28"/>
          <w:szCs w:val="28"/>
        </w:rPr>
        <w:t>.</w:t>
      </w:r>
      <w:r>
        <w:rPr>
          <w:rFonts w:ascii="仿宋" w:hAnsi="仿宋" w:eastAsia="仿宋"/>
          <w:color w:val="000000" w:themeColor="text1"/>
          <w:sz w:val="28"/>
          <w:szCs w:val="28"/>
          <w14:textFill>
            <w14:solidFill>
              <w14:schemeClr w14:val="tx1"/>
            </w14:solidFill>
          </w14:textFill>
        </w:rPr>
        <w:t>偏离表（格式见附件</w:t>
      </w:r>
      <w:r>
        <w:rPr>
          <w:rFonts w:hint="eastAsia" w:ascii="仿宋" w:hAnsi="仿宋" w:eastAsia="仿宋"/>
          <w:color w:val="000000" w:themeColor="text1"/>
          <w:sz w:val="28"/>
          <w:szCs w:val="28"/>
          <w:lang w:val="en-US" w:eastAsia="zh-CN"/>
          <w14:textFill>
            <w14:solidFill>
              <w14:schemeClr w14:val="tx1"/>
            </w14:solidFill>
          </w14:textFill>
        </w:rPr>
        <w:t>5</w:t>
      </w:r>
      <w:r>
        <w:rPr>
          <w:rFonts w:ascii="仿宋" w:hAnsi="仿宋" w:eastAsia="仿宋"/>
          <w:color w:val="000000" w:themeColor="text1"/>
          <w:sz w:val="28"/>
          <w:szCs w:val="28"/>
          <w14:textFill>
            <w14:solidFill>
              <w14:schemeClr w14:val="tx1"/>
            </w14:solidFill>
          </w14:textFill>
        </w:rPr>
        <w:t>）</w:t>
      </w:r>
      <w:r>
        <w:rPr>
          <w:rFonts w:hint="eastAsia" w:ascii="仿宋" w:hAnsi="仿宋" w:eastAsia="仿宋"/>
          <w:color w:val="000000" w:themeColor="text1"/>
          <w:sz w:val="28"/>
          <w:szCs w:val="28"/>
          <w:lang w:eastAsia="zh-CN"/>
          <w14:textFill>
            <w14:solidFill>
              <w14:schemeClr w14:val="tx1"/>
            </w14:solidFill>
          </w14:textFill>
        </w:rPr>
        <w:t>。</w:t>
      </w:r>
    </w:p>
    <w:p w14:paraId="606DD9B9">
      <w:pPr>
        <w:ind w:firstLine="560" w:firstLineChars="200"/>
        <w:rPr>
          <w:rFonts w:hint="eastAsia" w:ascii="仿宋" w:hAnsi="仿宋" w:eastAsia="仿宋"/>
          <w:color w:val="000000" w:themeColor="text1"/>
          <w:sz w:val="28"/>
          <w:szCs w:val="28"/>
          <w:lang w:eastAsia="zh-CN"/>
          <w14:textFill>
            <w14:solidFill>
              <w14:schemeClr w14:val="tx1"/>
            </w14:solidFill>
          </w14:textFill>
        </w:rPr>
      </w:pPr>
      <w:r>
        <w:rPr>
          <w:rFonts w:hint="eastAsia" w:ascii="仿宋" w:hAnsi="仿宋" w:eastAsia="仿宋"/>
          <w:color w:val="000000" w:themeColor="text1"/>
          <w:sz w:val="28"/>
          <w:szCs w:val="28"/>
          <w:lang w:eastAsia="zh-CN"/>
          <w14:textFill>
            <w14:solidFill>
              <w14:schemeClr w14:val="tx1"/>
            </w14:solidFill>
          </w14:textFill>
        </w:rPr>
        <w:t>5.偏离表响应内容承诺函或证明材料（按附件1</w:t>
      </w:r>
      <w:r>
        <w:rPr>
          <w:rFonts w:hint="eastAsia" w:ascii="仿宋" w:hAnsi="仿宋" w:eastAsia="仿宋"/>
          <w:color w:val="000000" w:themeColor="text1"/>
          <w:sz w:val="28"/>
          <w:szCs w:val="28"/>
          <w:lang w:val="en-US" w:eastAsia="zh-CN"/>
          <w14:textFill>
            <w14:solidFill>
              <w14:schemeClr w14:val="tx1"/>
            </w14:solidFill>
          </w14:textFill>
        </w:rPr>
        <w:t xml:space="preserve"> 四、</w:t>
      </w:r>
      <w:r>
        <w:rPr>
          <w:rFonts w:hint="eastAsia" w:ascii="仿宋" w:hAnsi="仿宋" w:eastAsia="仿宋"/>
          <w:color w:val="000000" w:themeColor="text1"/>
          <w:sz w:val="28"/>
          <w:szCs w:val="28"/>
          <w:lang w:eastAsia="zh-CN"/>
          <w14:textFill>
            <w14:solidFill>
              <w14:schemeClr w14:val="tx1"/>
            </w14:solidFill>
          </w14:textFill>
        </w:rPr>
        <w:t>技术服务要求</w:t>
      </w:r>
      <w:r>
        <w:rPr>
          <w:rFonts w:hint="eastAsia" w:ascii="仿宋" w:hAnsi="仿宋" w:eastAsia="仿宋"/>
          <w:color w:val="000000" w:themeColor="text1"/>
          <w:sz w:val="28"/>
          <w:szCs w:val="28"/>
          <w:lang w:val="en-US" w:eastAsia="zh-CN"/>
          <w14:textFill>
            <w14:solidFill>
              <w14:schemeClr w14:val="tx1"/>
            </w14:solidFill>
          </w14:textFill>
        </w:rPr>
        <w:t xml:space="preserve"> </w:t>
      </w:r>
      <w:r>
        <w:rPr>
          <w:rFonts w:hint="eastAsia" w:ascii="仿宋" w:hAnsi="仿宋" w:eastAsia="仿宋"/>
          <w:color w:val="000000" w:themeColor="text1"/>
          <w:sz w:val="28"/>
          <w:szCs w:val="28"/>
          <w:lang w:eastAsia="zh-CN"/>
          <w14:textFill>
            <w14:solidFill>
              <w14:schemeClr w14:val="tx1"/>
            </w14:solidFill>
          </w14:textFill>
        </w:rPr>
        <w:t>顺序装订）。</w:t>
      </w:r>
    </w:p>
    <w:p w14:paraId="6ED232B9">
      <w:pPr>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6</w:t>
      </w:r>
      <w:r>
        <w:rPr>
          <w:rFonts w:hint="eastAsia" w:ascii="仿宋" w:hAnsi="仿宋" w:eastAsia="仿宋"/>
          <w:sz w:val="28"/>
          <w:szCs w:val="28"/>
        </w:rPr>
        <w:t>.参选机构基本情况及其他证明文件等</w:t>
      </w:r>
      <w:r>
        <w:rPr>
          <w:rFonts w:hint="eastAsia" w:ascii="仿宋" w:hAnsi="仿宋" w:eastAsia="仿宋"/>
          <w:sz w:val="28"/>
          <w:szCs w:val="28"/>
          <w:lang w:eastAsia="zh-CN"/>
        </w:rPr>
        <w:t>。</w:t>
      </w:r>
    </w:p>
    <w:p w14:paraId="38E34FE9">
      <w:pPr>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7</w:t>
      </w:r>
      <w:r>
        <w:rPr>
          <w:rFonts w:hint="eastAsia" w:ascii="仿宋" w:hAnsi="仿宋" w:eastAsia="仿宋"/>
          <w:sz w:val="28"/>
          <w:szCs w:val="28"/>
        </w:rPr>
        <w:t>.合作方案（格式见附件</w:t>
      </w:r>
      <w:r>
        <w:rPr>
          <w:rFonts w:hint="eastAsia" w:ascii="仿宋" w:hAnsi="仿宋" w:eastAsia="仿宋"/>
          <w:sz w:val="28"/>
          <w:szCs w:val="28"/>
          <w:lang w:val="en-US" w:eastAsia="zh-CN"/>
        </w:rPr>
        <w:t>2</w:t>
      </w:r>
      <w:r>
        <w:rPr>
          <w:rFonts w:hint="eastAsia" w:ascii="仿宋" w:hAnsi="仿宋" w:eastAsia="仿宋"/>
          <w:sz w:val="28"/>
          <w:szCs w:val="28"/>
        </w:rPr>
        <w:t>）</w:t>
      </w:r>
      <w:r>
        <w:rPr>
          <w:rFonts w:hint="eastAsia" w:ascii="仿宋" w:hAnsi="仿宋" w:eastAsia="仿宋"/>
          <w:sz w:val="28"/>
          <w:szCs w:val="28"/>
          <w:lang w:eastAsia="zh-CN"/>
        </w:rPr>
        <w:t>。</w:t>
      </w:r>
    </w:p>
    <w:p w14:paraId="5A7457A0">
      <w:pPr>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8.报价</w:t>
      </w:r>
      <w:r>
        <w:rPr>
          <w:rFonts w:hint="eastAsia" w:ascii="仿宋" w:hAnsi="仿宋" w:eastAsia="仿宋"/>
          <w:sz w:val="28"/>
          <w:szCs w:val="28"/>
        </w:rPr>
        <w:t>（格式见附件</w:t>
      </w:r>
      <w:r>
        <w:rPr>
          <w:rFonts w:hint="eastAsia" w:ascii="仿宋" w:hAnsi="仿宋" w:eastAsia="仿宋"/>
          <w:sz w:val="28"/>
          <w:szCs w:val="28"/>
          <w:lang w:val="en-US" w:eastAsia="zh-CN"/>
        </w:rPr>
        <w:t>3</w:t>
      </w:r>
      <w:r>
        <w:rPr>
          <w:rFonts w:hint="eastAsia" w:ascii="仿宋" w:hAnsi="仿宋" w:eastAsia="仿宋"/>
          <w:sz w:val="28"/>
          <w:szCs w:val="28"/>
        </w:rPr>
        <w:t>）</w:t>
      </w:r>
      <w:r>
        <w:rPr>
          <w:rFonts w:hint="eastAsia" w:ascii="仿宋" w:hAnsi="仿宋" w:eastAsia="仿宋"/>
          <w:sz w:val="28"/>
          <w:szCs w:val="28"/>
          <w:lang w:eastAsia="zh-CN"/>
        </w:rPr>
        <w:t>。</w:t>
      </w:r>
    </w:p>
    <w:p w14:paraId="461EB519">
      <w:pPr>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9</w:t>
      </w:r>
      <w:r>
        <w:rPr>
          <w:rFonts w:hint="eastAsia" w:ascii="仿宋" w:hAnsi="仿宋" w:eastAsia="仿宋"/>
          <w:sz w:val="28"/>
          <w:szCs w:val="28"/>
        </w:rPr>
        <w:t>.封底</w:t>
      </w:r>
      <w:r>
        <w:rPr>
          <w:rFonts w:hint="eastAsia" w:ascii="仿宋" w:hAnsi="仿宋" w:eastAsia="仿宋"/>
          <w:sz w:val="28"/>
          <w:szCs w:val="28"/>
          <w:lang w:eastAsia="zh-CN"/>
        </w:rPr>
        <w:t>。</w:t>
      </w:r>
    </w:p>
    <w:p w14:paraId="4EBC3C75">
      <w:pPr>
        <w:ind w:firstLine="560" w:firstLineChars="200"/>
        <w:rPr>
          <w:rFonts w:hint="eastAsia" w:ascii="仿宋" w:hAnsi="仿宋" w:eastAsia="仿宋"/>
          <w:sz w:val="28"/>
          <w:szCs w:val="28"/>
        </w:rPr>
      </w:pPr>
      <w:r>
        <w:rPr>
          <w:rFonts w:hint="eastAsia" w:ascii="仿宋" w:hAnsi="仿宋" w:eastAsia="仿宋"/>
          <w:sz w:val="28"/>
          <w:szCs w:val="28"/>
        </w:rPr>
        <w:t>注：请务必按以上顺序装订资料，如有非中文资料，请同时提供中文翻译件。</w:t>
      </w:r>
    </w:p>
    <w:p w14:paraId="544745D8">
      <w:pPr>
        <w:ind w:firstLine="560" w:firstLineChars="200"/>
        <w:rPr>
          <w:rFonts w:hint="eastAsia" w:ascii="仿宋" w:hAnsi="仿宋" w:eastAsia="仿宋"/>
          <w:sz w:val="28"/>
          <w:szCs w:val="28"/>
        </w:rPr>
      </w:pPr>
    </w:p>
    <w:p w14:paraId="2B42B04F">
      <w:pPr>
        <w:rPr>
          <w:rFonts w:ascii="仿宋" w:hAnsi="仿宋" w:eastAsia="仿宋"/>
          <w:sz w:val="28"/>
          <w:szCs w:val="28"/>
        </w:rPr>
      </w:pPr>
    </w:p>
    <w:p w14:paraId="25AB1553">
      <w:pPr>
        <w:pStyle w:val="5"/>
        <w:rPr>
          <w:rFonts w:ascii="仿宋" w:hAnsi="仿宋" w:eastAsia="仿宋"/>
          <w:sz w:val="28"/>
          <w:szCs w:val="28"/>
        </w:rPr>
      </w:pPr>
    </w:p>
    <w:p w14:paraId="21A750AF">
      <w:pPr>
        <w:pStyle w:val="5"/>
        <w:rPr>
          <w:rFonts w:ascii="仿宋" w:hAnsi="仿宋" w:eastAsia="仿宋"/>
          <w:sz w:val="28"/>
          <w:szCs w:val="28"/>
        </w:rPr>
      </w:pPr>
    </w:p>
    <w:p w14:paraId="66CABB12">
      <w:pPr>
        <w:pStyle w:val="5"/>
        <w:rPr>
          <w:rFonts w:ascii="仿宋" w:hAnsi="仿宋" w:eastAsia="仿宋"/>
          <w:sz w:val="28"/>
          <w:szCs w:val="28"/>
        </w:rPr>
      </w:pPr>
    </w:p>
    <w:p w14:paraId="0DA533B7">
      <w:pPr>
        <w:pStyle w:val="5"/>
        <w:rPr>
          <w:rFonts w:ascii="仿宋" w:hAnsi="仿宋" w:eastAsia="仿宋"/>
          <w:sz w:val="28"/>
          <w:szCs w:val="28"/>
        </w:rPr>
      </w:pPr>
    </w:p>
    <w:p w14:paraId="326F6BBC">
      <w:pPr>
        <w:outlineLvl w:val="0"/>
        <w:rPr>
          <w:rFonts w:ascii="仿宋" w:hAnsi="仿宋" w:eastAsia="仿宋"/>
          <w:sz w:val="28"/>
          <w:szCs w:val="28"/>
        </w:rPr>
      </w:pPr>
      <w:r>
        <w:rPr>
          <w:rFonts w:ascii="仿宋" w:hAnsi="仿宋" w:eastAsia="仿宋"/>
          <w:sz w:val="28"/>
          <w:szCs w:val="28"/>
        </w:rPr>
        <w:t>附件</w:t>
      </w:r>
      <w:r>
        <w:rPr>
          <w:rFonts w:hint="eastAsia" w:ascii="仿宋" w:hAnsi="仿宋" w:eastAsia="仿宋"/>
          <w:sz w:val="28"/>
          <w:szCs w:val="28"/>
          <w:lang w:val="en-US" w:eastAsia="zh-CN"/>
        </w:rPr>
        <w:t>5</w:t>
      </w:r>
      <w:r>
        <w:rPr>
          <w:rFonts w:ascii="仿宋" w:hAnsi="仿宋" w:eastAsia="仿宋"/>
          <w:sz w:val="28"/>
          <w:szCs w:val="28"/>
        </w:rPr>
        <w:t>：</w:t>
      </w:r>
    </w:p>
    <w:p w14:paraId="13AF54C5">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rPr>
        <w:t>偏离表</w:t>
      </w:r>
    </w:p>
    <w:tbl>
      <w:tblPr>
        <w:tblStyle w:val="17"/>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051"/>
        <w:gridCol w:w="2300"/>
        <w:gridCol w:w="2300"/>
        <w:gridCol w:w="2871"/>
      </w:tblGrid>
      <w:tr w14:paraId="30B4938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21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6E86F9C">
            <w:pPr>
              <w:spacing w:line="360" w:lineRule="auto"/>
              <w:jc w:val="center"/>
              <w:rPr>
                <w:rFonts w:ascii="黑体" w:hAnsi="宋体" w:eastAsia="黑体"/>
                <w:szCs w:val="21"/>
              </w:rPr>
            </w:pPr>
            <w:r>
              <w:rPr>
                <w:rFonts w:ascii="黑体" w:hAnsi="宋体" w:eastAsia="黑体"/>
                <w:szCs w:val="21"/>
              </w:rPr>
              <w:t>序号</w:t>
            </w:r>
          </w:p>
        </w:tc>
        <w:tc>
          <w:tcPr>
            <w:tcW w:w="2790" w:type="dxa"/>
            <w:tcBorders>
              <w:top w:val="single" w:color="auto" w:sz="8"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vAlign w:val="center"/>
          </w:tcPr>
          <w:p w14:paraId="7F793522">
            <w:pPr>
              <w:spacing w:line="360" w:lineRule="auto"/>
              <w:jc w:val="center"/>
              <w:rPr>
                <w:rFonts w:ascii="黑体" w:hAnsi="宋体" w:eastAsia="黑体"/>
                <w:szCs w:val="21"/>
              </w:rPr>
            </w:pPr>
            <w:r>
              <w:rPr>
                <w:rFonts w:hint="eastAsia" w:ascii="黑体" w:hAnsi="宋体" w:eastAsia="黑体"/>
                <w:szCs w:val="21"/>
              </w:rPr>
              <w:t>遴选</w:t>
            </w:r>
            <w:r>
              <w:rPr>
                <w:rFonts w:ascii="黑体" w:hAnsi="宋体" w:eastAsia="黑体"/>
                <w:szCs w:val="21"/>
              </w:rPr>
              <w:t>要求</w:t>
            </w:r>
          </w:p>
        </w:tc>
        <w:tc>
          <w:tcPr>
            <w:tcW w:w="2790" w:type="dxa"/>
            <w:tcBorders>
              <w:top w:val="single" w:color="auto" w:sz="8"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vAlign w:val="center"/>
          </w:tcPr>
          <w:p w14:paraId="10724511">
            <w:pPr>
              <w:spacing w:line="360" w:lineRule="auto"/>
              <w:jc w:val="center"/>
              <w:rPr>
                <w:rFonts w:ascii="黑体" w:hAnsi="宋体" w:eastAsia="黑体"/>
                <w:szCs w:val="21"/>
              </w:rPr>
            </w:pPr>
            <w:r>
              <w:rPr>
                <w:rFonts w:ascii="黑体" w:hAnsi="宋体" w:eastAsia="黑体"/>
                <w:szCs w:val="21"/>
              </w:rPr>
              <w:t>响应</w:t>
            </w:r>
            <w:r>
              <w:rPr>
                <w:rFonts w:hint="eastAsia" w:ascii="黑体" w:hAnsi="宋体" w:eastAsia="黑体"/>
                <w:szCs w:val="21"/>
              </w:rPr>
              <w:t>内容</w:t>
            </w:r>
          </w:p>
        </w:tc>
        <w:tc>
          <w:tcPr>
            <w:tcW w:w="3510" w:type="dxa"/>
            <w:tcBorders>
              <w:top w:val="single" w:color="auto" w:sz="8"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vAlign w:val="center"/>
          </w:tcPr>
          <w:p w14:paraId="2886E77A">
            <w:pPr>
              <w:spacing w:line="360" w:lineRule="auto"/>
              <w:jc w:val="center"/>
              <w:rPr>
                <w:rFonts w:ascii="黑体" w:hAnsi="宋体" w:eastAsia="黑体"/>
                <w:szCs w:val="21"/>
              </w:rPr>
            </w:pPr>
            <w:r>
              <w:rPr>
                <w:rFonts w:ascii="黑体" w:hAnsi="宋体" w:eastAsia="黑体"/>
                <w:szCs w:val="21"/>
              </w:rPr>
              <w:t>偏离及其影响</w:t>
            </w:r>
          </w:p>
        </w:tc>
      </w:tr>
      <w:tr w14:paraId="5434DA7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5" w:hRule="atLeast"/>
          <w:jc w:val="center"/>
        </w:trPr>
        <w:tc>
          <w:tcPr>
            <w:tcW w:w="1215" w:type="dxa"/>
            <w:tcBorders>
              <w:top w:val="outset" w:color="000000"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1CCD1A68">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0193723D">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0A393B28">
            <w:pPr>
              <w:rPr>
                <w:rFonts w:ascii="仿宋" w:hAnsi="仿宋" w:eastAsia="仿宋"/>
                <w:sz w:val="32"/>
                <w:szCs w:val="32"/>
              </w:rPr>
            </w:pPr>
          </w:p>
        </w:tc>
        <w:tc>
          <w:tcPr>
            <w:tcW w:w="351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7574B4BB">
            <w:pPr>
              <w:rPr>
                <w:rFonts w:ascii="仿宋" w:hAnsi="仿宋" w:eastAsia="仿宋"/>
                <w:sz w:val="32"/>
                <w:szCs w:val="32"/>
              </w:rPr>
            </w:pPr>
          </w:p>
        </w:tc>
      </w:tr>
      <w:tr w14:paraId="26E8D7F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6872157E">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1EAAF90C">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29A37925">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4EB5A1AB">
            <w:pPr>
              <w:rPr>
                <w:rFonts w:ascii="仿宋" w:hAnsi="仿宋" w:eastAsia="仿宋"/>
                <w:sz w:val="32"/>
                <w:szCs w:val="32"/>
              </w:rPr>
            </w:pPr>
          </w:p>
        </w:tc>
      </w:tr>
      <w:tr w14:paraId="7626CCF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29539CC4">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2E000667">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7B48BEBC">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628D2617">
            <w:pPr>
              <w:rPr>
                <w:rFonts w:ascii="仿宋" w:hAnsi="仿宋" w:eastAsia="仿宋"/>
                <w:sz w:val="32"/>
                <w:szCs w:val="32"/>
              </w:rPr>
            </w:pPr>
          </w:p>
        </w:tc>
      </w:tr>
      <w:tr w14:paraId="6CB0C0F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6FF19347">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180D5143">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4908CFBB">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7E8E69FE">
            <w:pPr>
              <w:rPr>
                <w:rFonts w:ascii="仿宋" w:hAnsi="仿宋" w:eastAsia="仿宋"/>
                <w:sz w:val="32"/>
                <w:szCs w:val="32"/>
              </w:rPr>
            </w:pPr>
          </w:p>
        </w:tc>
      </w:tr>
      <w:tr w14:paraId="4413F65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6E07F1D3">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525EACEB">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5AF07DAA">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47487C71">
            <w:pPr>
              <w:rPr>
                <w:rFonts w:ascii="仿宋" w:hAnsi="仿宋" w:eastAsia="仿宋"/>
                <w:sz w:val="32"/>
                <w:szCs w:val="32"/>
              </w:rPr>
            </w:pPr>
          </w:p>
        </w:tc>
      </w:tr>
      <w:tr w14:paraId="3F805C9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2D8B9623">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3B9ED76B">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1187DF3B">
            <w:pPr>
              <w:rPr>
                <w:rFonts w:ascii="仿宋" w:hAnsi="仿宋" w:eastAsia="仿宋"/>
                <w:sz w:val="32"/>
                <w:szCs w:val="32"/>
              </w:rPr>
            </w:pPr>
          </w:p>
        </w:tc>
        <w:tc>
          <w:tcPr>
            <w:tcW w:w="351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2D092174">
            <w:pPr>
              <w:rPr>
                <w:rFonts w:ascii="仿宋" w:hAnsi="仿宋" w:eastAsia="仿宋"/>
                <w:sz w:val="32"/>
                <w:szCs w:val="32"/>
              </w:rPr>
            </w:pPr>
          </w:p>
        </w:tc>
      </w:tr>
    </w:tbl>
    <w:p w14:paraId="625DB0E4">
      <w:pPr>
        <w:rPr>
          <w:rFonts w:ascii="楷体_GB2312" w:hAnsi="宋体" w:eastAsia="楷体_GB2312"/>
          <w:sz w:val="28"/>
          <w:szCs w:val="28"/>
        </w:rPr>
      </w:pPr>
      <w:r>
        <w:rPr>
          <w:rFonts w:ascii="楷体_GB2312" w:hAnsi="宋体" w:eastAsia="楷体_GB2312"/>
          <w:sz w:val="28"/>
          <w:szCs w:val="28"/>
        </w:rPr>
        <w:t>注：1、此表要求</w:t>
      </w:r>
      <w:r>
        <w:rPr>
          <w:rFonts w:hint="eastAsia" w:ascii="楷体_GB2312" w:hAnsi="宋体" w:eastAsia="楷体_GB2312"/>
          <w:sz w:val="28"/>
          <w:szCs w:val="28"/>
        </w:rPr>
        <w:t>响应内容</w:t>
      </w:r>
      <w:r>
        <w:rPr>
          <w:rFonts w:ascii="楷体_GB2312" w:hAnsi="宋体" w:eastAsia="楷体_GB2312"/>
          <w:sz w:val="28"/>
          <w:szCs w:val="28"/>
        </w:rPr>
        <w:t>与</w:t>
      </w:r>
      <w:r>
        <w:rPr>
          <w:rFonts w:hint="eastAsia" w:ascii="楷体_GB2312" w:hAnsi="宋体" w:eastAsia="楷体_GB2312"/>
          <w:b/>
          <w:bCs/>
          <w:sz w:val="28"/>
          <w:szCs w:val="28"/>
          <w:lang w:eastAsia="zh-CN"/>
        </w:rPr>
        <w:t>“附件</w:t>
      </w:r>
      <w:r>
        <w:rPr>
          <w:rFonts w:hint="eastAsia" w:ascii="楷体_GB2312" w:hAnsi="宋体" w:eastAsia="楷体_GB2312"/>
          <w:b/>
          <w:bCs/>
          <w:sz w:val="28"/>
          <w:szCs w:val="28"/>
          <w:lang w:val="en-US" w:eastAsia="zh-CN"/>
        </w:rPr>
        <w:t>1 四、技术服务要求</w:t>
      </w:r>
      <w:r>
        <w:rPr>
          <w:rFonts w:hint="eastAsia" w:ascii="楷体_GB2312" w:hAnsi="宋体" w:eastAsia="楷体_GB2312"/>
          <w:b/>
          <w:bCs/>
          <w:sz w:val="28"/>
          <w:szCs w:val="28"/>
          <w:lang w:eastAsia="zh-CN"/>
        </w:rPr>
        <w:t>”</w:t>
      </w:r>
      <w:r>
        <w:rPr>
          <w:rFonts w:ascii="楷体_GB2312" w:hAnsi="宋体" w:eastAsia="楷体_GB2312"/>
          <w:sz w:val="28"/>
          <w:szCs w:val="28"/>
        </w:rPr>
        <w:t>一一对应、逐一列出</w:t>
      </w:r>
      <w:r>
        <w:rPr>
          <w:rFonts w:hint="eastAsia" w:ascii="楷体_GB2312" w:hAnsi="宋体" w:eastAsia="楷体_GB2312"/>
          <w:sz w:val="28"/>
          <w:szCs w:val="28"/>
          <w:lang w:val="en-US" w:eastAsia="zh-CN"/>
        </w:rPr>
        <w:t>并附证明材料或承诺函加盖公章</w:t>
      </w:r>
      <w:r>
        <w:rPr>
          <w:rFonts w:ascii="楷体_GB2312" w:hAnsi="宋体" w:eastAsia="楷体_GB2312"/>
          <w:sz w:val="28"/>
          <w:szCs w:val="28"/>
        </w:rPr>
        <w:t>；2．</w:t>
      </w:r>
      <w:r>
        <w:rPr>
          <w:rFonts w:hint="eastAsia" w:ascii="楷体_GB2312" w:hAnsi="宋体" w:eastAsia="楷体_GB2312"/>
          <w:sz w:val="28"/>
          <w:szCs w:val="28"/>
        </w:rPr>
        <w:t>据实填写偏离及其影响的内容，</w:t>
      </w:r>
      <w:r>
        <w:rPr>
          <w:rFonts w:ascii="楷体_GB2312" w:hAnsi="宋体" w:eastAsia="楷体_GB2312"/>
          <w:sz w:val="28"/>
          <w:szCs w:val="28"/>
        </w:rPr>
        <w:t>不得虚假响应，否则</w:t>
      </w:r>
      <w:r>
        <w:rPr>
          <w:rFonts w:hint="eastAsia" w:ascii="楷体_GB2312" w:hAnsi="宋体" w:eastAsia="楷体_GB2312"/>
          <w:sz w:val="28"/>
          <w:szCs w:val="28"/>
        </w:rPr>
        <w:t>视为</w:t>
      </w:r>
      <w:r>
        <w:rPr>
          <w:rFonts w:ascii="楷体_GB2312" w:hAnsi="宋体" w:eastAsia="楷体_GB2312"/>
          <w:sz w:val="28"/>
          <w:szCs w:val="28"/>
        </w:rPr>
        <w:t>无效并按规定追究其相关责任。</w:t>
      </w:r>
    </w:p>
    <w:p w14:paraId="46C82D15">
      <w:pPr>
        <w:ind w:firstLine="3360" w:firstLineChars="1050"/>
        <w:rPr>
          <w:rFonts w:ascii="仿宋" w:hAnsi="仿宋" w:eastAsia="仿宋"/>
          <w:sz w:val="32"/>
          <w:szCs w:val="32"/>
        </w:rPr>
      </w:pPr>
    </w:p>
    <w:p w14:paraId="42AAF6CD">
      <w:pPr>
        <w:ind w:firstLine="4620" w:firstLineChars="1650"/>
        <w:rPr>
          <w:rFonts w:ascii="楷体_GB2312" w:hAnsi="宋体" w:eastAsia="楷体_GB2312"/>
          <w:sz w:val="28"/>
          <w:szCs w:val="28"/>
        </w:rPr>
      </w:pPr>
      <w:r>
        <w:rPr>
          <w:rFonts w:ascii="楷体_GB2312" w:hAnsi="宋体" w:eastAsia="楷体_GB2312"/>
          <w:sz w:val="28"/>
          <w:szCs w:val="28"/>
        </w:rPr>
        <w:t>法定代表人或授权代表签字：</w:t>
      </w:r>
    </w:p>
    <w:p w14:paraId="66B3970A">
      <w:pPr>
        <w:ind w:firstLine="4620" w:firstLineChars="1650"/>
        <w:rPr>
          <w:rFonts w:ascii="楷体_GB2312" w:hAnsi="宋体" w:eastAsia="楷体_GB2312"/>
          <w:sz w:val="28"/>
          <w:szCs w:val="28"/>
        </w:rPr>
      </w:pPr>
      <w:r>
        <w:rPr>
          <w:rFonts w:ascii="楷体_GB2312" w:hAnsi="宋体" w:eastAsia="楷体_GB2312"/>
          <w:sz w:val="28"/>
          <w:szCs w:val="28"/>
        </w:rPr>
        <w:t>日期:</w:t>
      </w:r>
    </w:p>
    <w:p w14:paraId="05DA3049">
      <w:pPr>
        <w:jc w:val="left"/>
        <w:rPr>
          <w:rFonts w:ascii="仿宋" w:hAnsi="仿宋" w:eastAsia="仿宋"/>
          <w:sz w:val="28"/>
          <w:szCs w:val="28"/>
        </w:rPr>
      </w:pPr>
    </w:p>
    <w:p w14:paraId="1C3A93B0">
      <w:pPr>
        <w:jc w:val="left"/>
        <w:rPr>
          <w:rFonts w:ascii="仿宋" w:hAnsi="仿宋" w:eastAsia="仿宋"/>
          <w:sz w:val="28"/>
          <w:szCs w:val="28"/>
        </w:rPr>
      </w:pPr>
    </w:p>
    <w:p w14:paraId="3B401DDD">
      <w:pPr>
        <w:jc w:val="left"/>
        <w:rPr>
          <w:rFonts w:ascii="仿宋" w:hAnsi="仿宋" w:eastAsia="仿宋"/>
          <w:sz w:val="28"/>
          <w:szCs w:val="28"/>
        </w:rPr>
      </w:pPr>
    </w:p>
    <w:p w14:paraId="476F4CC0">
      <w:pPr>
        <w:jc w:val="left"/>
        <w:rPr>
          <w:rFonts w:ascii="仿宋" w:hAnsi="仿宋" w:eastAsia="仿宋"/>
          <w:sz w:val="28"/>
          <w:szCs w:val="28"/>
        </w:rPr>
      </w:pPr>
    </w:p>
    <w:p w14:paraId="109A494A">
      <w:pPr>
        <w:jc w:val="left"/>
        <w:rPr>
          <w:rFonts w:ascii="仿宋" w:hAnsi="仿宋" w:eastAsia="仿宋"/>
          <w:sz w:val="28"/>
          <w:szCs w:val="28"/>
        </w:rPr>
      </w:pPr>
    </w:p>
    <w:p w14:paraId="1893CD8C">
      <w:pPr>
        <w:jc w:val="left"/>
        <w:rPr>
          <w:rFonts w:ascii="仿宋" w:hAnsi="仿宋" w:eastAsia="仿宋"/>
          <w:sz w:val="28"/>
          <w:szCs w:val="28"/>
        </w:rPr>
      </w:pPr>
    </w:p>
    <w:p w14:paraId="061A9903">
      <w:pPr>
        <w:outlineLvl w:val="0"/>
        <w:rPr>
          <w:rFonts w:hint="eastAsia" w:ascii="仿宋" w:hAnsi="仿宋" w:eastAsia="仿宋"/>
          <w:sz w:val="28"/>
          <w:szCs w:val="28"/>
        </w:rPr>
      </w:pPr>
    </w:p>
    <w:p w14:paraId="0000FF02">
      <w:pPr>
        <w:outlineLvl w:val="0"/>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6</w:t>
      </w:r>
      <w:r>
        <w:rPr>
          <w:rFonts w:hint="eastAsia" w:ascii="仿宋" w:hAnsi="仿宋" w:eastAsia="仿宋"/>
          <w:sz w:val="28"/>
          <w:szCs w:val="28"/>
        </w:rPr>
        <w:t>:</w:t>
      </w:r>
    </w:p>
    <w:p w14:paraId="4EDEFEC6">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rPr>
        <w:t>法定代表人身份授权书</w:t>
      </w:r>
    </w:p>
    <w:p w14:paraId="1E40A919">
      <w:pPr>
        <w:ind w:firstLine="560" w:firstLineChars="200"/>
        <w:rPr>
          <w:rFonts w:ascii="仿宋" w:hAnsi="仿宋" w:eastAsia="仿宋" w:cs="仿宋"/>
          <w:sz w:val="28"/>
          <w:szCs w:val="28"/>
        </w:rPr>
      </w:pPr>
    </w:p>
    <w:p w14:paraId="4EA3B9F3">
      <w:pPr>
        <w:ind w:firstLine="560" w:firstLineChars="200"/>
        <w:rPr>
          <w:rFonts w:ascii="仿宋" w:hAnsi="仿宋" w:eastAsia="仿宋" w:cs="仿宋"/>
          <w:sz w:val="28"/>
          <w:szCs w:val="28"/>
          <w:lang w:val="zh-CN"/>
        </w:rPr>
      </w:pPr>
      <w:r>
        <w:rPr>
          <w:rFonts w:hint="eastAsia" w:ascii="仿宋" w:hAnsi="仿宋" w:eastAsia="仿宋" w:cs="仿宋"/>
          <w:sz w:val="28"/>
          <w:szCs w:val="28"/>
          <w:lang w:val="zh-CN"/>
        </w:rPr>
        <w:t>授权声明：</w:t>
      </w:r>
    </w:p>
    <w:p w14:paraId="4DEA1EE4">
      <w:pPr>
        <w:tabs>
          <w:tab w:val="left" w:pos="720"/>
          <w:tab w:val="left" w:pos="6300"/>
        </w:tabs>
        <w:spacing w:line="360" w:lineRule="auto"/>
        <w:rPr>
          <w:rFonts w:ascii="仿宋" w:hAnsi="仿宋" w:eastAsia="仿宋" w:cs="仿宋"/>
          <w:sz w:val="28"/>
          <w:szCs w:val="28"/>
        </w:rPr>
      </w:pPr>
      <w:r>
        <w:rPr>
          <w:rFonts w:hint="eastAsia" w:ascii="仿宋" w:hAnsi="仿宋" w:eastAsia="仿宋" w:cs="仿宋"/>
          <w:sz w:val="28"/>
          <w:szCs w:val="28"/>
        </w:rPr>
        <w:t>（法定代表人姓名、职务）授权（被授权人姓名、职务）为</w:t>
      </w:r>
      <w:r>
        <w:rPr>
          <w:rFonts w:hint="eastAsia" w:ascii="仿宋" w:hAnsi="仿宋" w:eastAsia="仿宋" w:cs="仿宋"/>
          <w:sz w:val="28"/>
          <w:szCs w:val="28"/>
          <w:lang w:val="zh-CN"/>
        </w:rPr>
        <w:t>我方</w:t>
      </w:r>
      <w:r>
        <w:rPr>
          <w:rFonts w:hint="eastAsia" w:ascii="仿宋" w:hAnsi="仿宋" w:eastAsia="仿宋" w:cs="仿宋"/>
          <w:sz w:val="28"/>
          <w:szCs w:val="28"/>
          <w:u w:val="single"/>
          <w:lang w:val="zh-CN"/>
        </w:rPr>
        <w:t xml:space="preserve"> “                                          ”</w:t>
      </w:r>
      <w:r>
        <w:rPr>
          <w:rFonts w:hint="eastAsia" w:ascii="仿宋" w:hAnsi="仿宋" w:eastAsia="仿宋" w:cs="仿宋"/>
          <w:sz w:val="28"/>
          <w:szCs w:val="28"/>
          <w:lang w:val="zh-CN"/>
        </w:rPr>
        <w:t>项目遴选活动的合法代表，以我方名义全权处理该项目有关遴选、签订合同以及执行合同等一切事宜。</w:t>
      </w:r>
    </w:p>
    <w:p w14:paraId="6917D615">
      <w:pPr>
        <w:ind w:firstLine="560" w:firstLineChars="200"/>
        <w:rPr>
          <w:rFonts w:ascii="仿宋" w:hAnsi="仿宋" w:eastAsia="仿宋" w:cs="仿宋"/>
          <w:sz w:val="28"/>
          <w:szCs w:val="28"/>
        </w:rPr>
      </w:pPr>
      <w:r>
        <w:rPr>
          <w:rFonts w:hint="eastAsia" w:ascii="仿宋" w:hAnsi="仿宋" w:eastAsia="仿宋" w:cs="仿宋"/>
          <w:sz w:val="28"/>
          <w:szCs w:val="28"/>
        </w:rPr>
        <w:t>特此声明。</w:t>
      </w:r>
    </w:p>
    <w:p w14:paraId="608C8781">
      <w:pPr>
        <w:ind w:firstLine="560" w:firstLineChars="200"/>
        <w:rPr>
          <w:rFonts w:ascii="仿宋" w:hAnsi="仿宋" w:eastAsia="仿宋" w:cs="仿宋"/>
          <w:sz w:val="28"/>
          <w:szCs w:val="28"/>
        </w:rPr>
      </w:pPr>
      <w:r>
        <w:rPr>
          <w:rFonts w:hint="eastAsia" w:ascii="仿宋" w:hAnsi="仿宋" w:eastAsia="仿宋" w:cs="仿宋"/>
          <w:sz w:val="28"/>
          <w:szCs w:val="28"/>
        </w:rPr>
        <w:t>法定代表人签字：</w:t>
      </w:r>
    </w:p>
    <w:p w14:paraId="1852601C">
      <w:pPr>
        <w:ind w:firstLine="560" w:firstLineChars="200"/>
        <w:rPr>
          <w:rFonts w:ascii="仿宋" w:hAnsi="仿宋" w:eastAsia="仿宋" w:cs="仿宋"/>
          <w:sz w:val="28"/>
          <w:szCs w:val="28"/>
        </w:rPr>
      </w:pPr>
      <w:r>
        <w:rPr>
          <w:rFonts w:hint="eastAsia" w:ascii="仿宋" w:hAnsi="仿宋" w:eastAsia="仿宋" w:cs="仿宋"/>
          <w:sz w:val="28"/>
          <w:szCs w:val="28"/>
        </w:rPr>
        <w:t>授权代表签字：</w:t>
      </w:r>
    </w:p>
    <w:p w14:paraId="3B587C73">
      <w:pPr>
        <w:ind w:firstLine="560" w:firstLineChars="200"/>
        <w:rPr>
          <w:rFonts w:ascii="仿宋" w:hAnsi="仿宋" w:eastAsia="仿宋" w:cs="仿宋"/>
          <w:sz w:val="28"/>
          <w:szCs w:val="28"/>
        </w:rPr>
      </w:pPr>
      <w:r>
        <w:rPr>
          <w:rFonts w:hint="eastAsia" w:ascii="仿宋" w:hAnsi="仿宋" w:eastAsia="仿宋" w:cs="仿宋"/>
          <w:sz w:val="28"/>
          <w:szCs w:val="28"/>
        </w:rPr>
        <w:t>投标人名称：（加盖公章）</w:t>
      </w:r>
    </w:p>
    <w:p w14:paraId="595EE049">
      <w:pPr>
        <w:ind w:firstLine="560" w:firstLineChars="200"/>
        <w:rPr>
          <w:rFonts w:ascii="仿宋" w:hAnsi="仿宋" w:eastAsia="仿宋" w:cs="仿宋"/>
          <w:sz w:val="28"/>
          <w:szCs w:val="28"/>
        </w:rPr>
      </w:pPr>
      <w:r>
        <w:rPr>
          <w:rFonts w:hint="eastAsia" w:ascii="仿宋" w:hAnsi="仿宋" w:eastAsia="仿宋" w:cs="仿宋"/>
          <w:sz w:val="28"/>
          <w:szCs w:val="28"/>
        </w:rPr>
        <w:t>日期：</w:t>
      </w:r>
    </w:p>
    <w:p w14:paraId="42207CEA">
      <w:pPr>
        <w:ind w:firstLine="560" w:firstLineChars="200"/>
        <w:rPr>
          <w:rFonts w:ascii="仿宋" w:hAnsi="仿宋" w:eastAsia="仿宋" w:cs="仿宋"/>
          <w:sz w:val="28"/>
          <w:szCs w:val="28"/>
        </w:rPr>
      </w:pPr>
      <w:r>
        <w:rPr>
          <w:rFonts w:hint="eastAsia" w:ascii="仿宋" w:hAnsi="仿宋" w:eastAsia="仿宋" w:cs="仿宋"/>
          <w:sz w:val="28"/>
          <w:szCs w:val="28"/>
        </w:rPr>
        <w:t>说明：上述证明文件附有法定代表人、被授权代表身份证复印件（加盖公章）时才能生效。</w:t>
      </w:r>
    </w:p>
    <w:p w14:paraId="3A3E5C72">
      <w:pPr>
        <w:ind w:firstLine="560" w:firstLineChars="200"/>
        <w:rPr>
          <w:rFonts w:ascii="仿宋" w:hAnsi="仿宋" w:eastAsia="仿宋" w:cs="仿宋"/>
          <w:sz w:val="28"/>
          <w:szCs w:val="28"/>
        </w:rPr>
      </w:pPr>
    </w:p>
    <w:p w14:paraId="5483C175">
      <w:pPr>
        <w:ind w:firstLine="560" w:firstLineChars="200"/>
        <w:rPr>
          <w:rFonts w:ascii="仿宋" w:hAnsi="仿宋" w:eastAsia="仿宋" w:cs="仿宋"/>
          <w:sz w:val="28"/>
          <w:szCs w:val="28"/>
        </w:rPr>
      </w:pPr>
    </w:p>
    <w:p w14:paraId="287B2FD6">
      <w:pPr>
        <w:ind w:firstLine="560" w:firstLineChars="200"/>
        <w:rPr>
          <w:rFonts w:ascii="仿宋" w:hAnsi="仿宋" w:eastAsia="仿宋" w:cs="仿宋"/>
          <w:sz w:val="28"/>
          <w:szCs w:val="28"/>
        </w:rPr>
      </w:pPr>
    </w:p>
    <w:p w14:paraId="692100AA">
      <w:pPr>
        <w:ind w:firstLine="560" w:firstLineChars="200"/>
        <w:rPr>
          <w:rFonts w:ascii="仿宋" w:hAnsi="仿宋" w:eastAsia="仿宋"/>
          <w:sz w:val="28"/>
          <w:szCs w:val="28"/>
        </w:rPr>
      </w:pPr>
    </w:p>
    <w:p w14:paraId="21813CBB">
      <w:pPr>
        <w:rPr>
          <w:rFonts w:ascii="仿宋" w:hAnsi="仿宋" w:eastAsia="仿宋"/>
          <w:sz w:val="28"/>
          <w:szCs w:val="28"/>
        </w:rPr>
      </w:pPr>
    </w:p>
    <w:p w14:paraId="07E4D3DE">
      <w:pPr>
        <w:rPr>
          <w:rFonts w:ascii="仿宋" w:hAnsi="仿宋" w:eastAsia="仿宋"/>
          <w:sz w:val="28"/>
          <w:szCs w:val="28"/>
        </w:rPr>
      </w:pPr>
    </w:p>
    <w:p w14:paraId="686789D1">
      <w:pPr>
        <w:outlineLvl w:val="0"/>
        <w:rPr>
          <w:rFonts w:hint="eastAsia" w:ascii="仿宋" w:hAnsi="仿宋" w:eastAsia="仿宋"/>
          <w:sz w:val="28"/>
          <w:szCs w:val="28"/>
        </w:rPr>
      </w:pPr>
    </w:p>
    <w:p w14:paraId="21BD2135">
      <w:pPr>
        <w:outlineLvl w:val="0"/>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7</w:t>
      </w:r>
      <w:r>
        <w:rPr>
          <w:rFonts w:hint="eastAsia" w:ascii="仿宋" w:hAnsi="仿宋" w:eastAsia="仿宋"/>
          <w:sz w:val="28"/>
          <w:szCs w:val="28"/>
        </w:rPr>
        <w:t>：</w:t>
      </w:r>
    </w:p>
    <w:p w14:paraId="3434E1D9">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rPr>
        <w:t>反商业贿赂承诺书</w:t>
      </w:r>
    </w:p>
    <w:p w14:paraId="49D86EF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为维护卫生行业的整体形象，保证合作的合法开展，维护贵院医疗、管理工作的正常秩序，保障广大患者的健康和利益，本厂家、商家、公司特郑重承诺如下：</w:t>
      </w:r>
    </w:p>
    <w:p w14:paraId="258E1C4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一、严格按照《招标投标法》、《药品管理法》、《反不正当竞争法》等有关法律、法规、规章、政策的规定，规范遴选工作以及达成协议后的合作工作，保证做到合法遴选、正当竞争、廉洁经营。</w:t>
      </w:r>
    </w:p>
    <w:p w14:paraId="630841B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二、本厂家、商家、公司保证在遴选工作及合作工作中承诺做到：</w:t>
      </w:r>
    </w:p>
    <w:p w14:paraId="095E9E8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.不与其他参选机构相互串通遴选报价，损害贵院的合法权益；</w:t>
      </w:r>
    </w:p>
    <w:p w14:paraId="51221266">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.不与其他参选机构串通遴选，损害国家利益、社会公共利益或他人的合法权益；</w:t>
      </w:r>
    </w:p>
    <w:p w14:paraId="35116826">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.不以向项目遴选方或者评审小组成员行贿的手段谋取中选；</w:t>
      </w:r>
    </w:p>
    <w:p w14:paraId="2252FDA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.遴选报价不违反相关法律的规定，也不以他人名义参加遴选或者以其他方式弄虚作假，骗取中选；</w:t>
      </w:r>
    </w:p>
    <w:p w14:paraId="186AEB8C">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.保证不以其他任何方式扰乱贵院的遴选工作；</w:t>
      </w:r>
    </w:p>
    <w:p w14:paraId="182F11A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.保证不在遴选中采取账外暗中给予回扣的手段腐蚀、贿赂相关人员；</w:t>
      </w:r>
    </w:p>
    <w:p w14:paraId="726270E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7</w:t>
      </w:r>
      <w:r>
        <w:rPr>
          <w:rFonts w:hint="eastAsia" w:ascii="仿宋" w:hAnsi="仿宋" w:eastAsia="仿宋"/>
          <w:sz w:val="28"/>
          <w:szCs w:val="28"/>
        </w:rPr>
        <w:t>.保证不以任何名义包括以宣传费、临床促销费、开单费、处方费、广告费、免费度假、考察旅游、房屋装修等任何名义给予贵院有关人员以财物或者其他利益；</w:t>
      </w:r>
    </w:p>
    <w:p w14:paraId="21566C5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8</w:t>
      </w:r>
      <w:r>
        <w:rPr>
          <w:rFonts w:hint="eastAsia" w:ascii="仿宋" w:hAnsi="仿宋" w:eastAsia="仿宋"/>
          <w:sz w:val="28"/>
          <w:szCs w:val="28"/>
        </w:rPr>
        <w:t>.保证不干扰贵院的正常工作秩序；</w:t>
      </w:r>
    </w:p>
    <w:p w14:paraId="5C25D93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9</w:t>
      </w:r>
      <w:r>
        <w:rPr>
          <w:rFonts w:hint="eastAsia" w:ascii="仿宋" w:hAnsi="仿宋" w:eastAsia="仿宋"/>
          <w:sz w:val="28"/>
          <w:szCs w:val="28"/>
        </w:rPr>
        <w:t>.保证不以其他任何不正当竞争手段推销药品、医疗器械、设备、物资。</w:t>
      </w:r>
    </w:p>
    <w:p w14:paraId="3BD882E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三、本厂家、商家、公司保证竭力维护贵院的声誉，不做任何有损贵院形象的事情。</w:t>
      </w:r>
    </w:p>
    <w:p w14:paraId="5B98DAE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四、本厂家、商家、公司保证加强对遴选、促销等工作的领导、监督和检查；加强对本厂家、商家、公司工作人员进行相关法律、法规、规章、政策等的教育工作，切实要求本厂家、商家、公司相关工作人员不得采取各类回扣手段腐蚀、贿赂相关人员。</w:t>
      </w:r>
    </w:p>
    <w:p w14:paraId="0F1A6A96">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五、对本厂家、商家、公司及本厂家、商家、公司工作人员采取以上手段遴选、促销等，干扰贵院正常工作秩序，损害贵院形象的，本厂家、商家、公司保证：</w:t>
      </w:r>
    </w:p>
    <w:p w14:paraId="2D548BE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.对尚处在遴选阶段的，贵院有权取消本厂家、商家、公司的遴选资格；已经中选的，贵院有权取消中选；对已经获得准入资格的，贵院有权随时取消本厂家、商家、公司的准入资格；</w:t>
      </w:r>
    </w:p>
    <w:p w14:paraId="7863462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.对本厂家、商家、公司相关工作人员作出严肃处理；</w:t>
      </w:r>
    </w:p>
    <w:p w14:paraId="5D48012D">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.对由于本厂家、商家、公司或本厂家、商家、公司工作人员的上述行为给贵院造成经济或名誉损失的，由本厂家、商家、公司负责，并愿意承担全部民事赔偿责任。</w:t>
      </w:r>
    </w:p>
    <w:p w14:paraId="23D95418">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六、遴选项目名称：</w:t>
      </w:r>
    </w:p>
    <w:p w14:paraId="3154B0FF">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28"/>
          <w:szCs w:val="28"/>
        </w:rPr>
      </w:pPr>
    </w:p>
    <w:p w14:paraId="03F804E2">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本《承诺书》一式二份（一份由承诺人自存；一份随竞价书传递）</w:t>
      </w:r>
    </w:p>
    <w:p w14:paraId="0F715338">
      <w:pPr>
        <w:keepNext w:val="0"/>
        <w:keepLines w:val="0"/>
        <w:pageBreakBefore w:val="0"/>
        <w:widowControl w:val="0"/>
        <w:kinsoku/>
        <w:wordWrap/>
        <w:overflowPunct/>
        <w:topLinePunct w:val="0"/>
        <w:autoSpaceDE/>
        <w:autoSpaceDN/>
        <w:bidi w:val="0"/>
        <w:adjustRightInd/>
        <w:snapToGrid/>
        <w:spacing w:line="600" w:lineRule="exact"/>
        <w:ind w:firstLine="2660" w:firstLineChars="950"/>
        <w:jc w:val="center"/>
        <w:textAlignment w:val="auto"/>
        <w:rPr>
          <w:rFonts w:ascii="仿宋" w:hAnsi="仿宋" w:eastAsia="仿宋"/>
          <w:sz w:val="28"/>
          <w:szCs w:val="28"/>
        </w:rPr>
      </w:pPr>
      <w:r>
        <w:rPr>
          <w:rFonts w:hint="eastAsia" w:ascii="仿宋" w:hAnsi="仿宋" w:eastAsia="仿宋"/>
          <w:sz w:val="28"/>
          <w:szCs w:val="28"/>
        </w:rPr>
        <w:t>承诺企业名称（公章）</w:t>
      </w:r>
    </w:p>
    <w:p w14:paraId="47759566">
      <w:pPr>
        <w:keepNext w:val="0"/>
        <w:keepLines w:val="0"/>
        <w:pageBreakBefore w:val="0"/>
        <w:widowControl w:val="0"/>
        <w:kinsoku/>
        <w:wordWrap/>
        <w:overflowPunct/>
        <w:topLinePunct w:val="0"/>
        <w:autoSpaceDE/>
        <w:autoSpaceDN/>
        <w:bidi w:val="0"/>
        <w:adjustRightInd/>
        <w:snapToGrid/>
        <w:spacing w:line="600" w:lineRule="exact"/>
        <w:ind w:firstLine="2660" w:firstLineChars="950"/>
        <w:jc w:val="center"/>
        <w:textAlignment w:val="auto"/>
        <w:rPr>
          <w:rFonts w:ascii="仿宋" w:hAnsi="仿宋" w:eastAsia="仿宋"/>
          <w:sz w:val="28"/>
          <w:szCs w:val="28"/>
        </w:rPr>
      </w:pPr>
      <w:r>
        <w:rPr>
          <w:rFonts w:hint="eastAsia" w:ascii="仿宋" w:hAnsi="仿宋" w:eastAsia="仿宋"/>
          <w:sz w:val="28"/>
          <w:szCs w:val="28"/>
        </w:rPr>
        <w:t>法人代表或委托代理人（承诺人）</w:t>
      </w:r>
    </w:p>
    <w:p w14:paraId="22B21AAE">
      <w:pPr>
        <w:outlineLvl w:val="0"/>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8</w:t>
      </w:r>
      <w:r>
        <w:rPr>
          <w:rFonts w:hint="eastAsia" w:ascii="仿宋" w:hAnsi="仿宋" w:eastAsia="仿宋"/>
          <w:sz w:val="28"/>
          <w:szCs w:val="28"/>
        </w:rPr>
        <w:t>：</w:t>
      </w:r>
    </w:p>
    <w:p w14:paraId="4E390E0B">
      <w:pPr>
        <w:adjustRightInd w:val="0"/>
        <w:snapToGrid w:val="0"/>
        <w:spacing w:line="480" w:lineRule="auto"/>
        <w:ind w:firstLine="640"/>
        <w:jc w:val="center"/>
        <w:outlineLvl w:val="0"/>
        <w:rPr>
          <w:rFonts w:hint="eastAsia" w:ascii="仿宋" w:hAnsi="仿宋" w:eastAsia="仿宋" w:cs="Times New Roman"/>
          <w:b/>
          <w:sz w:val="32"/>
          <w:szCs w:val="28"/>
          <w:highlight w:val="none"/>
        </w:rPr>
      </w:pPr>
      <w:r>
        <w:rPr>
          <w:rFonts w:hint="eastAsia" w:ascii="仿宋" w:hAnsi="仿宋" w:eastAsia="仿宋" w:cs="Times New Roman"/>
          <w:b/>
          <w:sz w:val="32"/>
          <w:szCs w:val="28"/>
          <w:highlight w:val="none"/>
          <w:lang w:eastAsia="zh-CN"/>
        </w:rPr>
        <w:t>参选机构</w:t>
      </w:r>
      <w:r>
        <w:rPr>
          <w:rFonts w:hint="eastAsia" w:ascii="仿宋" w:hAnsi="仿宋" w:eastAsia="仿宋" w:cs="Times New Roman"/>
          <w:b/>
          <w:sz w:val="32"/>
          <w:szCs w:val="28"/>
          <w:highlight w:val="none"/>
        </w:rPr>
        <w:t>遵守</w:t>
      </w:r>
      <w:r>
        <w:rPr>
          <w:rFonts w:hint="eastAsia" w:ascii="仿宋" w:hAnsi="仿宋" w:eastAsia="仿宋" w:cs="Times New Roman"/>
          <w:b/>
          <w:sz w:val="32"/>
          <w:szCs w:val="28"/>
          <w:highlight w:val="none"/>
          <w:lang w:eastAsia="zh-CN"/>
        </w:rPr>
        <w:t>遴选</w:t>
      </w:r>
      <w:r>
        <w:rPr>
          <w:rFonts w:hint="eastAsia" w:ascii="仿宋" w:hAnsi="仿宋" w:eastAsia="仿宋" w:cs="Times New Roman"/>
          <w:b/>
          <w:sz w:val="32"/>
          <w:szCs w:val="28"/>
          <w:highlight w:val="none"/>
        </w:rPr>
        <w:t>纪律承诺书</w:t>
      </w:r>
    </w:p>
    <w:p w14:paraId="540EEBD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rPr>
      </w:pPr>
    </w:p>
    <w:p w14:paraId="5DD9918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28"/>
          <w:szCs w:val="28"/>
        </w:rPr>
      </w:pPr>
      <w:r>
        <w:rPr>
          <w:rFonts w:hint="eastAsia" w:ascii="仿宋" w:hAnsi="仿宋" w:eastAsia="仿宋" w:cs="仿宋"/>
          <w:sz w:val="28"/>
          <w:szCs w:val="28"/>
        </w:rPr>
        <w:t>致四川省妇幼保健院：</w:t>
      </w:r>
    </w:p>
    <w:p w14:paraId="5D8F591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我单位作为本次</w:t>
      </w:r>
      <w:r>
        <w:rPr>
          <w:rFonts w:hint="eastAsia" w:ascii="仿宋" w:hAnsi="仿宋" w:eastAsia="仿宋" w:cs="仿宋"/>
          <w:sz w:val="28"/>
          <w:szCs w:val="28"/>
          <w:lang w:eastAsia="zh-CN"/>
        </w:rPr>
        <w:t>遴选</w:t>
      </w:r>
      <w:r>
        <w:rPr>
          <w:rFonts w:hint="eastAsia" w:ascii="仿宋" w:hAnsi="仿宋" w:eastAsia="仿宋" w:cs="仿宋"/>
          <w:sz w:val="28"/>
          <w:szCs w:val="28"/>
        </w:rPr>
        <w:t>项目的</w:t>
      </w:r>
      <w:r>
        <w:rPr>
          <w:rFonts w:hint="eastAsia" w:ascii="仿宋" w:hAnsi="仿宋" w:eastAsia="仿宋" w:cs="仿宋"/>
          <w:sz w:val="28"/>
          <w:szCs w:val="28"/>
          <w:lang w:eastAsia="zh-CN"/>
        </w:rPr>
        <w:t>参选机构</w:t>
      </w:r>
      <w:r>
        <w:rPr>
          <w:rFonts w:hint="eastAsia" w:ascii="仿宋" w:hAnsi="仿宋" w:eastAsia="仿宋" w:cs="仿宋"/>
          <w:sz w:val="28"/>
          <w:szCs w:val="28"/>
        </w:rPr>
        <w:t>，根据响应文件要求，现郑重承诺如下：</w:t>
      </w:r>
    </w:p>
    <w:p w14:paraId="46593248">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活动，我单位不存在与单位负责人为同一人或者存在直接控股、管理关系的其他</w:t>
      </w:r>
      <w:r>
        <w:rPr>
          <w:rFonts w:hint="eastAsia" w:ascii="仿宋" w:hAnsi="仿宋" w:eastAsia="仿宋" w:cs="仿宋"/>
          <w:sz w:val="28"/>
          <w:szCs w:val="28"/>
          <w:lang w:eastAsia="zh-CN"/>
        </w:rPr>
        <w:t>参选机构</w:t>
      </w:r>
      <w:r>
        <w:rPr>
          <w:rFonts w:hint="eastAsia" w:ascii="仿宋" w:hAnsi="仿宋" w:eastAsia="仿宋" w:cs="仿宋"/>
          <w:sz w:val="28"/>
          <w:szCs w:val="28"/>
        </w:rPr>
        <w:t>参与同一合同项下的</w:t>
      </w:r>
      <w:r>
        <w:rPr>
          <w:rFonts w:hint="eastAsia" w:ascii="仿宋" w:hAnsi="仿宋" w:eastAsia="仿宋" w:cs="仿宋"/>
          <w:sz w:val="28"/>
          <w:szCs w:val="28"/>
          <w:lang w:eastAsia="zh-CN"/>
        </w:rPr>
        <w:t>遴选</w:t>
      </w:r>
      <w:r>
        <w:rPr>
          <w:rFonts w:hint="eastAsia" w:ascii="仿宋" w:hAnsi="仿宋" w:eastAsia="仿宋" w:cs="仿宋"/>
          <w:sz w:val="28"/>
          <w:szCs w:val="28"/>
        </w:rPr>
        <w:t>活动的行为。</w:t>
      </w:r>
    </w:p>
    <w:p w14:paraId="3EFF0EC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活动，不得直接或者间接从</w:t>
      </w:r>
      <w:r>
        <w:rPr>
          <w:rFonts w:hint="eastAsia" w:ascii="仿宋" w:hAnsi="仿宋" w:eastAsia="仿宋" w:cs="仿宋"/>
          <w:sz w:val="28"/>
          <w:szCs w:val="28"/>
          <w:lang w:eastAsia="zh-CN"/>
        </w:rPr>
        <w:t>遴选</w:t>
      </w:r>
      <w:r>
        <w:rPr>
          <w:rFonts w:hint="eastAsia" w:ascii="仿宋" w:hAnsi="仿宋" w:eastAsia="仿宋" w:cs="仿宋"/>
          <w:sz w:val="28"/>
          <w:szCs w:val="28"/>
        </w:rPr>
        <w:t>人处获得其他</w:t>
      </w:r>
      <w:r>
        <w:rPr>
          <w:rFonts w:hint="eastAsia" w:ascii="仿宋" w:hAnsi="仿宋" w:eastAsia="仿宋" w:cs="仿宋"/>
          <w:sz w:val="28"/>
          <w:szCs w:val="28"/>
          <w:lang w:eastAsia="zh-CN"/>
        </w:rPr>
        <w:t>参选机构</w:t>
      </w:r>
      <w:r>
        <w:rPr>
          <w:rFonts w:hint="eastAsia" w:ascii="仿宋" w:hAnsi="仿宋" w:eastAsia="仿宋" w:cs="仿宋"/>
          <w:sz w:val="28"/>
          <w:szCs w:val="28"/>
        </w:rPr>
        <w:t>的相关情况并修改其投标文件或者响应文件。</w:t>
      </w:r>
    </w:p>
    <w:p w14:paraId="5E413AC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活动，不得按照</w:t>
      </w:r>
      <w:r>
        <w:rPr>
          <w:rFonts w:hint="eastAsia" w:ascii="仿宋" w:hAnsi="仿宋" w:eastAsia="仿宋" w:cs="仿宋"/>
          <w:sz w:val="28"/>
          <w:szCs w:val="28"/>
          <w:lang w:eastAsia="zh-CN"/>
        </w:rPr>
        <w:t>遴选</w:t>
      </w:r>
      <w:r>
        <w:rPr>
          <w:rFonts w:hint="eastAsia" w:ascii="仿宋" w:hAnsi="仿宋" w:eastAsia="仿宋" w:cs="仿宋"/>
          <w:sz w:val="28"/>
          <w:szCs w:val="28"/>
        </w:rPr>
        <w:t>人的授意撤换、修改投标文件或者响应文件。</w:t>
      </w:r>
    </w:p>
    <w:p w14:paraId="11F5106F">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活动，不得和本次</w:t>
      </w:r>
      <w:r>
        <w:rPr>
          <w:rFonts w:hint="eastAsia" w:ascii="仿宋" w:hAnsi="仿宋" w:eastAsia="仿宋" w:cs="仿宋"/>
          <w:sz w:val="28"/>
          <w:szCs w:val="28"/>
          <w:lang w:eastAsia="zh-CN"/>
        </w:rPr>
        <w:t>遴选参选机构</w:t>
      </w:r>
      <w:r>
        <w:rPr>
          <w:rFonts w:hint="eastAsia" w:ascii="仿宋" w:hAnsi="仿宋" w:eastAsia="仿宋" w:cs="仿宋"/>
          <w:sz w:val="28"/>
          <w:szCs w:val="28"/>
        </w:rPr>
        <w:t>之间协商报价、技术方案等投标文件或者响应文件的实质性内容。</w:t>
      </w:r>
    </w:p>
    <w:p w14:paraId="0334AC0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五、本次</w:t>
      </w:r>
      <w:r>
        <w:rPr>
          <w:rFonts w:hint="eastAsia" w:ascii="仿宋" w:hAnsi="仿宋" w:eastAsia="仿宋" w:cs="仿宋"/>
          <w:sz w:val="28"/>
          <w:szCs w:val="28"/>
          <w:lang w:eastAsia="zh-CN"/>
        </w:rPr>
        <w:t>遴选</w:t>
      </w:r>
      <w:r>
        <w:rPr>
          <w:rFonts w:hint="eastAsia" w:ascii="仿宋" w:hAnsi="仿宋" w:eastAsia="仿宋" w:cs="仿宋"/>
          <w:sz w:val="28"/>
          <w:szCs w:val="28"/>
        </w:rPr>
        <w:t>活动中，不存在属于同一集团、协会、商会等组织成员的</w:t>
      </w:r>
      <w:r>
        <w:rPr>
          <w:rFonts w:hint="eastAsia" w:ascii="仿宋" w:hAnsi="仿宋" w:eastAsia="仿宋" w:cs="仿宋"/>
          <w:sz w:val="28"/>
          <w:szCs w:val="28"/>
          <w:lang w:eastAsia="zh-CN"/>
        </w:rPr>
        <w:t>参选机构</w:t>
      </w:r>
      <w:r>
        <w:rPr>
          <w:rFonts w:hint="eastAsia" w:ascii="仿宋" w:hAnsi="仿宋" w:eastAsia="仿宋" w:cs="仿宋"/>
          <w:sz w:val="28"/>
          <w:szCs w:val="28"/>
        </w:rPr>
        <w:t>按照该组织要求协同参加本次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w:t>
      </w:r>
    </w:p>
    <w:p w14:paraId="6A9D54EE">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六、参加本次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活动，不存在与其他</w:t>
      </w:r>
      <w:r>
        <w:rPr>
          <w:rFonts w:hint="eastAsia" w:ascii="仿宋" w:hAnsi="仿宋" w:eastAsia="仿宋" w:cs="仿宋"/>
          <w:sz w:val="28"/>
          <w:szCs w:val="28"/>
          <w:lang w:eastAsia="zh-CN"/>
        </w:rPr>
        <w:t>参选机构</w:t>
      </w:r>
      <w:r>
        <w:rPr>
          <w:rFonts w:hint="eastAsia" w:ascii="仿宋" w:hAnsi="仿宋" w:eastAsia="仿宋" w:cs="仿宋"/>
          <w:sz w:val="28"/>
          <w:szCs w:val="28"/>
        </w:rPr>
        <w:t>之间事先约定由某一特定</w:t>
      </w:r>
      <w:r>
        <w:rPr>
          <w:rFonts w:hint="eastAsia" w:ascii="仿宋" w:hAnsi="仿宋" w:eastAsia="仿宋" w:cs="仿宋"/>
          <w:sz w:val="28"/>
          <w:szCs w:val="28"/>
          <w:lang w:eastAsia="zh-CN"/>
        </w:rPr>
        <w:t>参选机构</w:t>
      </w:r>
      <w:r>
        <w:rPr>
          <w:rFonts w:hint="eastAsia" w:ascii="仿宋" w:hAnsi="仿宋" w:eastAsia="仿宋" w:cs="仿宋"/>
          <w:sz w:val="28"/>
          <w:szCs w:val="28"/>
        </w:rPr>
        <w:t>中标、成交。</w:t>
      </w:r>
    </w:p>
    <w:p w14:paraId="5E63B7D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七、参加本次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活动，不存在与其他</w:t>
      </w:r>
      <w:r>
        <w:rPr>
          <w:rFonts w:hint="eastAsia" w:ascii="仿宋" w:hAnsi="仿宋" w:eastAsia="仿宋" w:cs="仿宋"/>
          <w:sz w:val="28"/>
          <w:szCs w:val="28"/>
          <w:lang w:eastAsia="zh-CN"/>
        </w:rPr>
        <w:t>参选机构</w:t>
      </w:r>
      <w:r>
        <w:rPr>
          <w:rFonts w:hint="eastAsia" w:ascii="仿宋" w:hAnsi="仿宋" w:eastAsia="仿宋" w:cs="仿宋"/>
          <w:sz w:val="28"/>
          <w:szCs w:val="28"/>
        </w:rPr>
        <w:t>商定部分</w:t>
      </w:r>
      <w:r>
        <w:rPr>
          <w:rFonts w:hint="eastAsia" w:ascii="仿宋" w:hAnsi="仿宋" w:eastAsia="仿宋" w:cs="仿宋"/>
          <w:sz w:val="28"/>
          <w:szCs w:val="28"/>
          <w:lang w:eastAsia="zh-CN"/>
        </w:rPr>
        <w:t>参选机构</w:t>
      </w:r>
      <w:r>
        <w:rPr>
          <w:rFonts w:hint="eastAsia" w:ascii="仿宋" w:hAnsi="仿宋" w:eastAsia="仿宋" w:cs="仿宋"/>
          <w:sz w:val="28"/>
          <w:szCs w:val="28"/>
        </w:rPr>
        <w:t>放弃参加</w:t>
      </w:r>
      <w:r>
        <w:rPr>
          <w:rFonts w:hint="eastAsia" w:ascii="仿宋" w:hAnsi="仿宋" w:eastAsia="仿宋" w:cs="仿宋"/>
          <w:sz w:val="28"/>
          <w:szCs w:val="28"/>
          <w:lang w:eastAsia="zh-CN"/>
        </w:rPr>
        <w:t>遴选</w:t>
      </w:r>
      <w:r>
        <w:rPr>
          <w:rFonts w:hint="eastAsia" w:ascii="仿宋" w:hAnsi="仿宋" w:eastAsia="仿宋" w:cs="仿宋"/>
          <w:sz w:val="28"/>
          <w:szCs w:val="28"/>
        </w:rPr>
        <w:t>活动或者放弃中标、成交。</w:t>
      </w:r>
    </w:p>
    <w:p w14:paraId="706BF6F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八、参加本次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活动，不存在我单位的投标文件或者响应文件由其他参与本项目的单位或个人编制或委托办理投标事宜。</w:t>
      </w:r>
    </w:p>
    <w:p w14:paraId="3B564CD5">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九、参加本次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活动，不存在我单位与</w:t>
      </w:r>
      <w:r>
        <w:rPr>
          <w:rFonts w:hint="eastAsia" w:ascii="仿宋" w:hAnsi="仿宋" w:eastAsia="仿宋" w:cs="仿宋"/>
          <w:sz w:val="28"/>
          <w:szCs w:val="28"/>
          <w:lang w:eastAsia="zh-CN"/>
        </w:rPr>
        <w:t>遴选</w:t>
      </w:r>
      <w:r>
        <w:rPr>
          <w:rFonts w:hint="eastAsia" w:ascii="仿宋" w:hAnsi="仿宋" w:eastAsia="仿宋" w:cs="仿宋"/>
          <w:sz w:val="28"/>
          <w:szCs w:val="28"/>
        </w:rPr>
        <w:t>人之间、</w:t>
      </w:r>
      <w:r>
        <w:rPr>
          <w:rFonts w:hint="eastAsia" w:ascii="仿宋" w:hAnsi="仿宋" w:eastAsia="仿宋" w:cs="仿宋"/>
          <w:sz w:val="28"/>
          <w:szCs w:val="28"/>
          <w:lang w:eastAsia="zh-CN"/>
        </w:rPr>
        <w:t>参选机构</w:t>
      </w:r>
      <w:r>
        <w:rPr>
          <w:rFonts w:hint="eastAsia" w:ascii="仿宋" w:hAnsi="仿宋" w:eastAsia="仿宋" w:cs="仿宋"/>
          <w:sz w:val="28"/>
          <w:szCs w:val="28"/>
        </w:rPr>
        <w:t>相互之间，为谋求特定</w:t>
      </w:r>
      <w:r>
        <w:rPr>
          <w:rFonts w:hint="eastAsia" w:ascii="仿宋" w:hAnsi="仿宋" w:eastAsia="仿宋" w:cs="仿宋"/>
          <w:sz w:val="28"/>
          <w:szCs w:val="28"/>
          <w:lang w:eastAsia="zh-CN"/>
        </w:rPr>
        <w:t>参选机构</w:t>
      </w:r>
      <w:r>
        <w:rPr>
          <w:rFonts w:hint="eastAsia" w:ascii="仿宋" w:hAnsi="仿宋" w:eastAsia="仿宋" w:cs="仿宋"/>
          <w:sz w:val="28"/>
          <w:szCs w:val="28"/>
        </w:rPr>
        <w:t>中标、成交或者排斥其他</w:t>
      </w:r>
      <w:r>
        <w:rPr>
          <w:rFonts w:hint="eastAsia" w:ascii="仿宋" w:hAnsi="仿宋" w:eastAsia="仿宋" w:cs="仿宋"/>
          <w:sz w:val="28"/>
          <w:szCs w:val="28"/>
          <w:lang w:eastAsia="zh-CN"/>
        </w:rPr>
        <w:t>参选机构</w:t>
      </w:r>
      <w:r>
        <w:rPr>
          <w:rFonts w:hint="eastAsia" w:ascii="仿宋" w:hAnsi="仿宋" w:eastAsia="仿宋" w:cs="仿宋"/>
          <w:sz w:val="28"/>
          <w:szCs w:val="28"/>
        </w:rPr>
        <w:t>的其他串通行为。</w:t>
      </w:r>
    </w:p>
    <w:p w14:paraId="6866D40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十、与我方存在直接控股关系的单位为：</w:t>
      </w:r>
      <w:r>
        <w:rPr>
          <w:rFonts w:hint="eastAsia" w:ascii="仿宋" w:hAnsi="仿宋" w:eastAsia="仿宋" w:cs="仿宋"/>
          <w:sz w:val="28"/>
          <w:szCs w:val="28"/>
          <w:u w:val="single"/>
        </w:rPr>
        <w:t>XXXXXX</w:t>
      </w:r>
      <w:r>
        <w:rPr>
          <w:rFonts w:hint="eastAsia" w:ascii="仿宋" w:hAnsi="仿宋" w:eastAsia="仿宋" w:cs="仿宋"/>
          <w:sz w:val="28"/>
          <w:szCs w:val="28"/>
        </w:rPr>
        <w:t>；存在管理关系单位为：</w:t>
      </w:r>
      <w:r>
        <w:rPr>
          <w:rFonts w:hint="eastAsia" w:ascii="仿宋" w:hAnsi="仿宋" w:eastAsia="仿宋" w:cs="仿宋"/>
          <w:sz w:val="28"/>
          <w:szCs w:val="28"/>
          <w:u w:val="single"/>
        </w:rPr>
        <w:t>XXXXXX</w:t>
      </w:r>
      <w:r>
        <w:rPr>
          <w:rFonts w:hint="eastAsia" w:ascii="仿宋" w:hAnsi="仿宋" w:eastAsia="仿宋" w:cs="仿宋"/>
          <w:sz w:val="28"/>
          <w:szCs w:val="28"/>
        </w:rPr>
        <w:t>。</w:t>
      </w:r>
    </w:p>
    <w:p w14:paraId="50875A7E">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14:paraId="712890E6">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p>
    <w:p w14:paraId="16E65F4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参选机构</w:t>
      </w:r>
      <w:r>
        <w:rPr>
          <w:rFonts w:hint="eastAsia" w:ascii="仿宋" w:hAnsi="仿宋" w:eastAsia="仿宋" w:cs="仿宋"/>
          <w:sz w:val="28"/>
          <w:szCs w:val="28"/>
        </w:rPr>
        <w:t>名称（单位公章）：</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日</w:t>
      </w:r>
    </w:p>
    <w:p w14:paraId="3133D95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法定代表人/单位负责人或授权代表</w:t>
      </w:r>
    </w:p>
    <w:p w14:paraId="08513F7C">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（签字或加盖个人名章）：</w:t>
      </w:r>
    </w:p>
    <w:p w14:paraId="1FA4582F">
      <w:pPr>
        <w:ind w:firstLine="560" w:firstLineChars="200"/>
        <w:rPr>
          <w:rFonts w:hint="eastAsia" w:ascii="仿宋" w:hAnsi="仿宋" w:eastAsia="仿宋"/>
          <w:sz w:val="28"/>
          <w:szCs w:val="28"/>
        </w:rPr>
        <w:sectPr>
          <w:pgSz w:w="11906" w:h="16838"/>
          <w:pgMar w:top="1440" w:right="1800" w:bottom="1440" w:left="1800" w:header="851" w:footer="992" w:gutter="0"/>
          <w:pgNumType w:fmt="decimal"/>
          <w:cols w:space="425" w:num="1"/>
          <w:docGrid w:type="lines" w:linePitch="312" w:charSpace="0"/>
        </w:sectPr>
      </w:pPr>
    </w:p>
    <w:p w14:paraId="05538827">
      <w:pPr>
        <w:adjustRightInd w:val="0"/>
        <w:snapToGrid w:val="0"/>
        <w:spacing w:line="480" w:lineRule="auto"/>
        <w:jc w:val="both"/>
        <w:outlineLvl w:val="0"/>
        <w:rPr>
          <w:rFonts w:hint="eastAsia" w:ascii="仿宋" w:hAnsi="仿宋" w:eastAsia="仿宋"/>
          <w:b/>
          <w:sz w:val="32"/>
          <w:szCs w:val="28"/>
        </w:rPr>
      </w:pPr>
      <w:r>
        <w:rPr>
          <w:rFonts w:hint="eastAsia" w:ascii="仿宋" w:hAnsi="仿宋" w:eastAsia="仿宋"/>
          <w:sz w:val="28"/>
          <w:szCs w:val="28"/>
        </w:rPr>
        <w:t>附件</w:t>
      </w:r>
      <w:r>
        <w:rPr>
          <w:rFonts w:hint="eastAsia" w:ascii="仿宋" w:hAnsi="仿宋" w:eastAsia="仿宋"/>
          <w:sz w:val="28"/>
          <w:szCs w:val="28"/>
          <w:lang w:val="en-US" w:eastAsia="zh-CN"/>
        </w:rPr>
        <w:t>9</w:t>
      </w: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hint="eastAsia" w:ascii="仿宋" w:hAnsi="仿宋" w:eastAsia="仿宋"/>
          <w:b/>
          <w:sz w:val="32"/>
          <w:szCs w:val="28"/>
        </w:rPr>
        <w:t>评审办法（综合评分明细表）</w:t>
      </w:r>
    </w:p>
    <w:tbl>
      <w:tblPr>
        <w:tblStyle w:val="17"/>
        <w:tblW w:w="10425" w:type="dxa"/>
        <w:tblInd w:w="-753" w:type="dxa"/>
        <w:tblLayout w:type="autofit"/>
        <w:tblCellMar>
          <w:top w:w="0" w:type="dxa"/>
          <w:left w:w="108" w:type="dxa"/>
          <w:bottom w:w="0" w:type="dxa"/>
          <w:right w:w="108" w:type="dxa"/>
        </w:tblCellMar>
      </w:tblPr>
      <w:tblGrid>
        <w:gridCol w:w="851"/>
        <w:gridCol w:w="986"/>
        <w:gridCol w:w="766"/>
        <w:gridCol w:w="737"/>
        <w:gridCol w:w="4708"/>
        <w:gridCol w:w="654"/>
        <w:gridCol w:w="1723"/>
      </w:tblGrid>
      <w:tr w14:paraId="6F0CD7B8">
        <w:tblPrEx>
          <w:tblCellMar>
            <w:top w:w="0" w:type="dxa"/>
            <w:left w:w="108" w:type="dxa"/>
            <w:bottom w:w="0" w:type="dxa"/>
            <w:right w:w="108" w:type="dxa"/>
          </w:tblCellMar>
        </w:tblPrEx>
        <w:trPr>
          <w:trHeight w:val="345" w:hRule="atLeast"/>
        </w:trPr>
        <w:tc>
          <w:tcPr>
            <w:tcW w:w="851" w:type="dxa"/>
            <w:tcBorders>
              <w:top w:val="single" w:color="auto" w:sz="8" w:space="0"/>
              <w:left w:val="single" w:color="auto" w:sz="8" w:space="0"/>
              <w:bottom w:val="nil"/>
              <w:right w:val="single" w:color="auto" w:sz="8" w:space="0"/>
            </w:tcBorders>
            <w:shd w:val="clear" w:color="auto" w:fill="auto"/>
            <w:vAlign w:val="center"/>
          </w:tcPr>
          <w:p w14:paraId="310085D5">
            <w:pPr>
              <w:widowControl/>
              <w:jc w:val="center"/>
              <w:rPr>
                <w:rFonts w:hint="eastAsia" w:ascii="黑体" w:hAnsi="黑体" w:eastAsia="黑体" w:cs="黑体"/>
                <w:bCs/>
                <w:color w:val="000000"/>
                <w:kern w:val="0"/>
                <w:sz w:val="22"/>
                <w:szCs w:val="22"/>
              </w:rPr>
            </w:pPr>
            <w:r>
              <w:rPr>
                <w:rFonts w:hint="eastAsia" w:ascii="黑体" w:hAnsi="黑体" w:eastAsia="黑体" w:cs="黑体"/>
                <w:bCs/>
                <w:color w:val="000000"/>
                <w:kern w:val="0"/>
                <w:sz w:val="22"/>
                <w:szCs w:val="22"/>
              </w:rPr>
              <w:t>序号</w:t>
            </w:r>
          </w:p>
        </w:tc>
        <w:tc>
          <w:tcPr>
            <w:tcW w:w="1752" w:type="dxa"/>
            <w:gridSpan w:val="2"/>
            <w:tcBorders>
              <w:top w:val="single" w:color="auto" w:sz="8" w:space="0"/>
              <w:left w:val="nil"/>
              <w:bottom w:val="single" w:color="auto" w:sz="8" w:space="0"/>
              <w:right w:val="single" w:color="000000" w:sz="8" w:space="0"/>
            </w:tcBorders>
            <w:shd w:val="clear" w:color="auto" w:fill="auto"/>
            <w:vAlign w:val="center"/>
          </w:tcPr>
          <w:p w14:paraId="7C1B0342">
            <w:pPr>
              <w:widowControl/>
              <w:jc w:val="center"/>
              <w:rPr>
                <w:rFonts w:hint="eastAsia" w:ascii="黑体" w:hAnsi="黑体" w:eastAsia="黑体" w:cs="黑体"/>
                <w:bCs/>
                <w:color w:val="000000"/>
                <w:kern w:val="0"/>
                <w:sz w:val="22"/>
                <w:szCs w:val="22"/>
              </w:rPr>
            </w:pPr>
            <w:r>
              <w:rPr>
                <w:rFonts w:hint="eastAsia" w:ascii="黑体" w:hAnsi="黑体" w:eastAsia="黑体" w:cs="黑体"/>
                <w:bCs/>
                <w:color w:val="000000"/>
                <w:kern w:val="0"/>
                <w:sz w:val="22"/>
                <w:szCs w:val="22"/>
              </w:rPr>
              <w:t>评分因素及权重</w:t>
            </w:r>
          </w:p>
        </w:tc>
        <w:tc>
          <w:tcPr>
            <w:tcW w:w="737" w:type="dxa"/>
            <w:tcBorders>
              <w:top w:val="single" w:color="auto" w:sz="8" w:space="0"/>
              <w:left w:val="nil"/>
              <w:bottom w:val="single" w:color="auto" w:sz="8" w:space="0"/>
              <w:right w:val="single" w:color="auto" w:sz="8" w:space="0"/>
            </w:tcBorders>
            <w:shd w:val="clear" w:color="auto" w:fill="auto"/>
            <w:vAlign w:val="center"/>
          </w:tcPr>
          <w:p w14:paraId="3358F4BC">
            <w:pPr>
              <w:widowControl/>
              <w:jc w:val="center"/>
              <w:rPr>
                <w:rFonts w:hint="eastAsia" w:ascii="黑体" w:hAnsi="黑体" w:eastAsia="黑体" w:cs="黑体"/>
                <w:bCs/>
                <w:color w:val="000000"/>
                <w:kern w:val="0"/>
                <w:sz w:val="22"/>
                <w:szCs w:val="22"/>
              </w:rPr>
            </w:pPr>
            <w:r>
              <w:rPr>
                <w:rFonts w:hint="eastAsia" w:ascii="黑体" w:hAnsi="黑体" w:eastAsia="黑体" w:cs="黑体"/>
                <w:bCs/>
                <w:color w:val="000000"/>
                <w:kern w:val="0"/>
                <w:sz w:val="22"/>
                <w:szCs w:val="22"/>
              </w:rPr>
              <w:t>分值</w:t>
            </w:r>
          </w:p>
        </w:tc>
        <w:tc>
          <w:tcPr>
            <w:tcW w:w="4708" w:type="dxa"/>
            <w:tcBorders>
              <w:top w:val="single" w:color="auto" w:sz="8" w:space="0"/>
              <w:left w:val="nil"/>
              <w:bottom w:val="single" w:color="auto" w:sz="8" w:space="0"/>
              <w:right w:val="single" w:color="auto" w:sz="8" w:space="0"/>
            </w:tcBorders>
            <w:shd w:val="clear" w:color="auto" w:fill="auto"/>
            <w:vAlign w:val="center"/>
          </w:tcPr>
          <w:p w14:paraId="76B1B094">
            <w:pPr>
              <w:widowControl/>
              <w:jc w:val="center"/>
              <w:rPr>
                <w:rFonts w:hint="eastAsia" w:ascii="黑体" w:hAnsi="黑体" w:eastAsia="黑体" w:cs="黑体"/>
                <w:bCs/>
                <w:color w:val="000000"/>
                <w:kern w:val="0"/>
                <w:sz w:val="22"/>
                <w:szCs w:val="22"/>
              </w:rPr>
            </w:pPr>
            <w:r>
              <w:rPr>
                <w:rFonts w:hint="eastAsia" w:ascii="黑体" w:hAnsi="黑体" w:eastAsia="黑体" w:cs="黑体"/>
                <w:bCs/>
                <w:color w:val="000000"/>
                <w:kern w:val="0"/>
                <w:sz w:val="22"/>
                <w:szCs w:val="22"/>
              </w:rPr>
              <w:t>评分标准</w:t>
            </w:r>
          </w:p>
        </w:tc>
        <w:tc>
          <w:tcPr>
            <w:tcW w:w="654" w:type="dxa"/>
            <w:tcBorders>
              <w:top w:val="single" w:color="auto" w:sz="8" w:space="0"/>
              <w:left w:val="nil"/>
              <w:bottom w:val="single" w:color="auto" w:sz="8" w:space="0"/>
              <w:right w:val="single" w:color="auto" w:sz="8" w:space="0"/>
            </w:tcBorders>
            <w:shd w:val="clear" w:color="auto" w:fill="auto"/>
            <w:vAlign w:val="center"/>
          </w:tcPr>
          <w:p w14:paraId="19D00744">
            <w:pPr>
              <w:widowControl/>
              <w:jc w:val="center"/>
              <w:rPr>
                <w:rFonts w:hint="eastAsia" w:ascii="黑体" w:hAnsi="黑体" w:eastAsia="黑体" w:cs="黑体"/>
                <w:bCs/>
                <w:color w:val="000000"/>
                <w:kern w:val="0"/>
                <w:sz w:val="22"/>
                <w:szCs w:val="22"/>
              </w:rPr>
            </w:pPr>
            <w:r>
              <w:rPr>
                <w:rFonts w:hint="eastAsia" w:ascii="黑体" w:hAnsi="黑体" w:eastAsia="黑体" w:cs="黑体"/>
                <w:bCs/>
                <w:color w:val="000000"/>
                <w:kern w:val="0"/>
                <w:sz w:val="22"/>
                <w:szCs w:val="22"/>
              </w:rPr>
              <w:t>得分</w:t>
            </w:r>
          </w:p>
        </w:tc>
        <w:tc>
          <w:tcPr>
            <w:tcW w:w="1723" w:type="dxa"/>
            <w:tcBorders>
              <w:top w:val="single" w:color="auto" w:sz="8" w:space="0"/>
              <w:left w:val="nil"/>
              <w:bottom w:val="single" w:color="auto" w:sz="8" w:space="0"/>
              <w:right w:val="single" w:color="auto" w:sz="8" w:space="0"/>
            </w:tcBorders>
            <w:vAlign w:val="center"/>
          </w:tcPr>
          <w:p w14:paraId="5CB38BF3">
            <w:pPr>
              <w:widowControl/>
              <w:jc w:val="center"/>
              <w:rPr>
                <w:rFonts w:hint="eastAsia" w:ascii="黑体" w:hAnsi="黑体" w:eastAsia="黑体" w:cs="黑体"/>
                <w:bCs/>
                <w:color w:val="000000"/>
                <w:kern w:val="0"/>
                <w:sz w:val="22"/>
                <w:szCs w:val="22"/>
              </w:rPr>
            </w:pPr>
            <w:r>
              <w:rPr>
                <w:rFonts w:hint="eastAsia" w:ascii="黑体" w:hAnsi="黑体" w:eastAsia="黑体" w:cs="黑体"/>
                <w:bCs/>
                <w:color w:val="000000"/>
                <w:kern w:val="0"/>
                <w:sz w:val="22"/>
                <w:szCs w:val="22"/>
              </w:rPr>
              <w:t>备注</w:t>
            </w:r>
          </w:p>
        </w:tc>
      </w:tr>
      <w:tr w14:paraId="2D6F75A1">
        <w:tblPrEx>
          <w:tblCellMar>
            <w:top w:w="0" w:type="dxa"/>
            <w:left w:w="108" w:type="dxa"/>
            <w:bottom w:w="0" w:type="dxa"/>
            <w:right w:w="108" w:type="dxa"/>
          </w:tblCellMar>
        </w:tblPrEx>
        <w:trPr>
          <w:trHeight w:val="2134" w:hRule="atLeast"/>
        </w:trPr>
        <w:tc>
          <w:tcPr>
            <w:tcW w:w="851" w:type="dxa"/>
            <w:vMerge w:val="restart"/>
            <w:tcBorders>
              <w:top w:val="single" w:color="auto" w:sz="8" w:space="0"/>
              <w:left w:val="single" w:color="auto" w:sz="8" w:space="0"/>
              <w:right w:val="single" w:color="auto" w:sz="8" w:space="0"/>
            </w:tcBorders>
            <w:shd w:val="clear" w:color="auto" w:fill="auto"/>
            <w:vAlign w:val="center"/>
          </w:tcPr>
          <w:p w14:paraId="5ABCA401">
            <w:pPr>
              <w:widowControl/>
              <w:jc w:val="center"/>
              <w:rPr>
                <w:rFonts w:hint="eastAsia" w:ascii="仿宋" w:hAnsi="仿宋" w:eastAsia="仿宋" w:cs="宋体"/>
                <w:b/>
                <w:bCs/>
                <w:color w:val="000000"/>
                <w:kern w:val="0"/>
                <w:sz w:val="22"/>
                <w:szCs w:val="24"/>
                <w:lang w:eastAsia="zh-CN"/>
              </w:rPr>
            </w:pPr>
            <w:r>
              <w:rPr>
                <w:rFonts w:hint="eastAsia" w:ascii="仿宋" w:hAnsi="仿宋" w:eastAsia="仿宋" w:cs="宋体"/>
                <w:b w:val="0"/>
                <w:bCs w:val="0"/>
                <w:color w:val="000000"/>
                <w:kern w:val="0"/>
                <w:sz w:val="22"/>
                <w:szCs w:val="24"/>
                <w:lang w:val="en-US" w:eastAsia="zh-CN"/>
              </w:rPr>
              <w:t>1</w:t>
            </w:r>
          </w:p>
        </w:tc>
        <w:tc>
          <w:tcPr>
            <w:tcW w:w="1752" w:type="dxa"/>
            <w:gridSpan w:val="2"/>
            <w:vMerge w:val="restart"/>
            <w:tcBorders>
              <w:top w:val="nil"/>
              <w:left w:val="nil"/>
              <w:right w:val="single" w:color="000000" w:sz="8" w:space="0"/>
            </w:tcBorders>
            <w:shd w:val="clear" w:color="auto" w:fill="auto"/>
            <w:vAlign w:val="center"/>
          </w:tcPr>
          <w:p w14:paraId="347D8080">
            <w:pPr>
              <w:widowControl/>
              <w:jc w:val="center"/>
              <w:rPr>
                <w:rFonts w:hint="eastAsia" w:ascii="仿宋" w:hAnsi="仿宋" w:eastAsia="仿宋" w:cs="仿宋"/>
                <w:sz w:val="22"/>
              </w:rPr>
            </w:pPr>
            <w:r>
              <w:rPr>
                <w:rFonts w:hint="eastAsia" w:ascii="仿宋" w:hAnsi="仿宋" w:eastAsia="仿宋" w:cs="仿宋"/>
                <w:sz w:val="22"/>
              </w:rPr>
              <w:t>费用报价</w:t>
            </w:r>
          </w:p>
          <w:p w14:paraId="11ECA570">
            <w:pPr>
              <w:widowControl/>
              <w:jc w:val="center"/>
              <w:rPr>
                <w:rFonts w:hint="eastAsia" w:ascii="仿宋" w:hAnsi="仿宋" w:eastAsia="仿宋" w:cs="仿宋"/>
                <w:sz w:val="22"/>
              </w:rPr>
            </w:pPr>
            <w:r>
              <w:rPr>
                <w:rFonts w:hint="eastAsia" w:ascii="仿宋" w:hAnsi="仿宋" w:eastAsia="仿宋" w:cs="仿宋"/>
                <w:sz w:val="22"/>
              </w:rPr>
              <w:t>（</w:t>
            </w:r>
            <w:r>
              <w:rPr>
                <w:rFonts w:hint="eastAsia" w:ascii="仿宋" w:hAnsi="仿宋" w:eastAsia="仿宋" w:cs="仿宋"/>
                <w:sz w:val="22"/>
                <w:lang w:val="en-US" w:eastAsia="zh-CN"/>
              </w:rPr>
              <w:t>10%</w:t>
            </w:r>
            <w:r>
              <w:rPr>
                <w:rFonts w:hint="eastAsia" w:ascii="仿宋" w:hAnsi="仿宋" w:eastAsia="仿宋" w:cs="仿宋"/>
                <w:sz w:val="22"/>
              </w:rPr>
              <w:t>）</w:t>
            </w:r>
          </w:p>
        </w:tc>
        <w:tc>
          <w:tcPr>
            <w:tcW w:w="737" w:type="dxa"/>
            <w:tcBorders>
              <w:top w:val="nil"/>
              <w:left w:val="nil"/>
              <w:bottom w:val="single" w:color="auto" w:sz="8" w:space="0"/>
              <w:right w:val="single" w:color="auto" w:sz="8" w:space="0"/>
            </w:tcBorders>
            <w:shd w:val="clear" w:color="auto" w:fill="auto"/>
            <w:vAlign w:val="center"/>
          </w:tcPr>
          <w:p w14:paraId="3E9382D1">
            <w:pPr>
              <w:widowControl/>
              <w:jc w:val="center"/>
              <w:rPr>
                <w:rFonts w:hint="eastAsia" w:ascii="仿宋" w:hAnsi="仿宋" w:eastAsia="仿宋" w:cs="仿宋"/>
                <w:sz w:val="22"/>
                <w:lang w:eastAsia="zh-CN"/>
              </w:rPr>
            </w:pPr>
            <w:r>
              <w:rPr>
                <w:rFonts w:hint="eastAsia" w:ascii="仿宋" w:hAnsi="仿宋" w:eastAsia="仿宋" w:cs="仿宋"/>
                <w:sz w:val="22"/>
                <w:lang w:val="en-US" w:eastAsia="zh-CN"/>
              </w:rPr>
              <w:t>5</w:t>
            </w:r>
          </w:p>
        </w:tc>
        <w:tc>
          <w:tcPr>
            <w:tcW w:w="4708" w:type="dxa"/>
            <w:tcBorders>
              <w:top w:val="nil"/>
              <w:left w:val="nil"/>
              <w:bottom w:val="single" w:color="auto" w:sz="8" w:space="0"/>
              <w:right w:val="single" w:color="auto" w:sz="8" w:space="0"/>
            </w:tcBorders>
            <w:shd w:val="clear" w:color="auto" w:fill="auto"/>
            <w:vAlign w:val="center"/>
          </w:tcPr>
          <w:p w14:paraId="1A0005DD">
            <w:pPr>
              <w:widowControl/>
              <w:jc w:val="left"/>
              <w:rPr>
                <w:rFonts w:hint="eastAsia" w:ascii="仿宋" w:hAnsi="仿宋" w:eastAsia="仿宋" w:cs="仿宋"/>
                <w:sz w:val="22"/>
              </w:rPr>
            </w:pPr>
            <w:r>
              <w:rPr>
                <w:rFonts w:hint="eastAsia" w:ascii="仿宋" w:hAnsi="仿宋" w:eastAsia="仿宋" w:cs="仿宋"/>
                <w:color w:val="000000"/>
                <w:kern w:val="0"/>
                <w:sz w:val="22"/>
                <w:lang w:val="en-US" w:eastAsia="zh-CN"/>
              </w:rPr>
              <w:t>1.院外产诊产筛医院模式：</w:t>
            </w:r>
            <w:r>
              <w:rPr>
                <w:rFonts w:hint="eastAsia" w:ascii="仿宋" w:hAnsi="仿宋" w:eastAsia="仿宋" w:cs="仿宋"/>
                <w:sz w:val="22"/>
              </w:rPr>
              <w:t>有效</w:t>
            </w:r>
            <w:r>
              <w:rPr>
                <w:rFonts w:hint="eastAsia" w:ascii="仿宋" w:hAnsi="仿宋" w:eastAsia="仿宋" w:cs="仿宋"/>
                <w:sz w:val="22"/>
                <w:lang w:eastAsia="zh-CN"/>
              </w:rPr>
              <w:t>参选单位</w:t>
            </w:r>
            <w:r>
              <w:rPr>
                <w:rFonts w:hint="eastAsia" w:ascii="仿宋" w:hAnsi="仿宋" w:eastAsia="仿宋" w:cs="仿宋"/>
                <w:sz w:val="22"/>
              </w:rPr>
              <w:t>的平均报价为评标基准价，高于或等于评标基准价，其价格分为满分。其他投标人的价格分统一按照下列公式计算：投标报价得分=（投标报价/评标基准价）×</w:t>
            </w:r>
            <w:r>
              <w:rPr>
                <w:rFonts w:hint="eastAsia" w:ascii="仿宋" w:hAnsi="仿宋" w:eastAsia="仿宋" w:cs="仿宋"/>
                <w:sz w:val="22"/>
                <w:lang w:val="en-US" w:eastAsia="zh-CN"/>
              </w:rPr>
              <w:t>5。</w:t>
            </w:r>
          </w:p>
        </w:tc>
        <w:tc>
          <w:tcPr>
            <w:tcW w:w="654" w:type="dxa"/>
            <w:tcBorders>
              <w:top w:val="nil"/>
              <w:left w:val="nil"/>
              <w:bottom w:val="single" w:color="auto" w:sz="8" w:space="0"/>
              <w:right w:val="single" w:color="auto" w:sz="8" w:space="0"/>
            </w:tcBorders>
            <w:shd w:val="clear" w:color="auto" w:fill="auto"/>
            <w:vAlign w:val="center"/>
          </w:tcPr>
          <w:p w14:paraId="1100CF41">
            <w:pPr>
              <w:widowControl/>
              <w:rPr>
                <w:rFonts w:ascii="仿宋" w:hAnsi="仿宋" w:eastAsia="仿宋" w:cs="仿宋_GB2312"/>
                <w:sz w:val="22"/>
              </w:rPr>
            </w:pPr>
          </w:p>
        </w:tc>
        <w:tc>
          <w:tcPr>
            <w:tcW w:w="1723" w:type="dxa"/>
            <w:vMerge w:val="restart"/>
            <w:tcBorders>
              <w:top w:val="nil"/>
              <w:left w:val="nil"/>
              <w:right w:val="single" w:color="auto" w:sz="8" w:space="0"/>
            </w:tcBorders>
          </w:tcPr>
          <w:p w14:paraId="08777D7A">
            <w:pPr>
              <w:widowControl/>
              <w:rPr>
                <w:rFonts w:hint="eastAsia" w:ascii="仿宋" w:hAnsi="仿宋" w:eastAsia="仿宋" w:cs="仿宋_GB2312"/>
                <w:i w:val="0"/>
                <w:iCs w:val="0"/>
                <w:color w:val="auto"/>
                <w:kern w:val="2"/>
                <w:sz w:val="22"/>
                <w:szCs w:val="22"/>
                <w:u w:val="none"/>
                <w:lang w:val="en-US" w:eastAsia="zh-CN" w:bidi="ar"/>
              </w:rPr>
            </w:pPr>
            <w:r>
              <w:rPr>
                <w:rFonts w:hint="eastAsia" w:ascii="仿宋" w:hAnsi="仿宋" w:eastAsia="仿宋" w:cs="仿宋_GB2312"/>
                <w:i w:val="0"/>
                <w:iCs w:val="0"/>
                <w:color w:val="auto"/>
                <w:kern w:val="2"/>
                <w:sz w:val="22"/>
                <w:szCs w:val="22"/>
                <w:u w:val="none"/>
                <w:lang w:val="en-US" w:eastAsia="zh-CN" w:bidi="ar"/>
              </w:rPr>
              <w:t>评分的取值按四舍五入法，保留小数点后两位。</w:t>
            </w:r>
          </w:p>
          <w:p w14:paraId="5BB8D621">
            <w:pPr>
              <w:widowControl/>
              <w:rPr>
                <w:rFonts w:ascii="仿宋" w:hAnsi="仿宋" w:eastAsia="仿宋" w:cs="仿宋_GB2312"/>
              </w:rPr>
            </w:pPr>
          </w:p>
        </w:tc>
      </w:tr>
      <w:tr w14:paraId="03FEAB5C">
        <w:tblPrEx>
          <w:tblCellMar>
            <w:top w:w="0" w:type="dxa"/>
            <w:left w:w="108" w:type="dxa"/>
            <w:bottom w:w="0" w:type="dxa"/>
            <w:right w:w="108" w:type="dxa"/>
          </w:tblCellMar>
        </w:tblPrEx>
        <w:trPr>
          <w:trHeight w:val="1740" w:hRule="atLeast"/>
        </w:trPr>
        <w:tc>
          <w:tcPr>
            <w:tcW w:w="851" w:type="dxa"/>
            <w:vMerge w:val="continue"/>
            <w:tcBorders>
              <w:left w:val="single" w:color="auto" w:sz="8" w:space="0"/>
              <w:bottom w:val="single" w:color="auto" w:sz="8" w:space="0"/>
              <w:right w:val="single" w:color="auto" w:sz="8" w:space="0"/>
            </w:tcBorders>
            <w:shd w:val="clear" w:color="auto" w:fill="auto"/>
            <w:vAlign w:val="center"/>
          </w:tcPr>
          <w:p w14:paraId="7B3EAA1F">
            <w:pPr>
              <w:widowControl/>
              <w:jc w:val="center"/>
              <w:rPr>
                <w:rFonts w:hint="eastAsia" w:ascii="仿宋" w:hAnsi="仿宋" w:eastAsia="仿宋" w:cs="宋体"/>
                <w:b/>
                <w:bCs/>
                <w:color w:val="000000"/>
                <w:kern w:val="0"/>
                <w:sz w:val="22"/>
                <w:szCs w:val="24"/>
              </w:rPr>
            </w:pPr>
          </w:p>
        </w:tc>
        <w:tc>
          <w:tcPr>
            <w:tcW w:w="1752" w:type="dxa"/>
            <w:gridSpan w:val="2"/>
            <w:vMerge w:val="continue"/>
            <w:tcBorders>
              <w:left w:val="nil"/>
              <w:bottom w:val="single" w:color="auto" w:sz="8" w:space="0"/>
              <w:right w:val="single" w:color="000000" w:sz="8" w:space="0"/>
            </w:tcBorders>
            <w:shd w:val="clear" w:color="auto" w:fill="auto"/>
            <w:vAlign w:val="center"/>
          </w:tcPr>
          <w:p w14:paraId="038A60FB">
            <w:pPr>
              <w:widowControl/>
              <w:jc w:val="center"/>
              <w:rPr>
                <w:rFonts w:hint="eastAsia" w:ascii="仿宋" w:hAnsi="仿宋" w:eastAsia="仿宋" w:cs="仿宋"/>
                <w:sz w:val="22"/>
              </w:rPr>
            </w:pPr>
          </w:p>
        </w:tc>
        <w:tc>
          <w:tcPr>
            <w:tcW w:w="737" w:type="dxa"/>
            <w:tcBorders>
              <w:top w:val="nil"/>
              <w:left w:val="nil"/>
              <w:bottom w:val="single" w:color="auto" w:sz="8" w:space="0"/>
              <w:right w:val="single" w:color="auto" w:sz="8" w:space="0"/>
            </w:tcBorders>
            <w:shd w:val="clear" w:color="auto" w:fill="auto"/>
            <w:vAlign w:val="center"/>
          </w:tcPr>
          <w:p w14:paraId="081FA509">
            <w:pPr>
              <w:widowControl/>
              <w:jc w:val="center"/>
              <w:rPr>
                <w:rFonts w:hint="eastAsia" w:ascii="仿宋" w:hAnsi="仿宋" w:eastAsia="仿宋" w:cs="仿宋"/>
                <w:sz w:val="22"/>
                <w:lang w:val="en-US" w:eastAsia="zh-CN"/>
              </w:rPr>
            </w:pPr>
            <w:r>
              <w:rPr>
                <w:rFonts w:hint="eastAsia" w:ascii="仿宋" w:hAnsi="仿宋" w:eastAsia="仿宋" w:cs="仿宋"/>
                <w:sz w:val="22"/>
                <w:lang w:val="en-US" w:eastAsia="zh-CN"/>
              </w:rPr>
              <w:t>5</w:t>
            </w:r>
          </w:p>
        </w:tc>
        <w:tc>
          <w:tcPr>
            <w:tcW w:w="4708" w:type="dxa"/>
            <w:tcBorders>
              <w:top w:val="nil"/>
              <w:left w:val="nil"/>
              <w:bottom w:val="single" w:color="auto" w:sz="8" w:space="0"/>
              <w:right w:val="single" w:color="auto" w:sz="8" w:space="0"/>
            </w:tcBorders>
            <w:shd w:val="clear" w:color="auto" w:fill="auto"/>
            <w:vAlign w:val="center"/>
          </w:tcPr>
          <w:p w14:paraId="56C8D5FC">
            <w:pPr>
              <w:widowControl/>
              <w:jc w:val="left"/>
              <w:rPr>
                <w:rFonts w:hint="eastAsia" w:ascii="仿宋" w:hAnsi="仿宋" w:eastAsia="仿宋" w:cs="仿宋"/>
                <w:sz w:val="22"/>
              </w:rPr>
            </w:pPr>
            <w:r>
              <w:rPr>
                <w:rFonts w:hint="eastAsia" w:ascii="仿宋" w:hAnsi="仿宋" w:eastAsia="仿宋" w:cs="仿宋"/>
                <w:color w:val="000000"/>
                <w:kern w:val="0"/>
                <w:sz w:val="22"/>
                <w:lang w:val="en-US" w:eastAsia="zh-CN"/>
              </w:rPr>
              <w:t>2.院外非资质医院转诊模式：</w:t>
            </w:r>
            <w:r>
              <w:rPr>
                <w:rFonts w:hint="eastAsia" w:ascii="仿宋" w:hAnsi="仿宋" w:eastAsia="仿宋" w:cs="仿宋"/>
                <w:sz w:val="22"/>
              </w:rPr>
              <w:t>有效</w:t>
            </w:r>
            <w:r>
              <w:rPr>
                <w:rFonts w:hint="eastAsia" w:ascii="仿宋" w:hAnsi="仿宋" w:eastAsia="仿宋" w:cs="仿宋"/>
                <w:sz w:val="22"/>
                <w:lang w:eastAsia="zh-CN"/>
              </w:rPr>
              <w:t>参选单位</w:t>
            </w:r>
            <w:r>
              <w:rPr>
                <w:rFonts w:hint="eastAsia" w:ascii="仿宋" w:hAnsi="仿宋" w:eastAsia="仿宋" w:cs="仿宋"/>
                <w:sz w:val="22"/>
              </w:rPr>
              <w:t>的平均报价为评标基准价，高于或等于评标基准价，其价格分为满分。其他投标人的价格分统一按照下列公式计算：投标报价得分=（投标报价/评标基准价）×</w:t>
            </w:r>
            <w:r>
              <w:rPr>
                <w:rFonts w:hint="eastAsia" w:ascii="仿宋" w:hAnsi="仿宋" w:eastAsia="仿宋" w:cs="仿宋"/>
                <w:sz w:val="22"/>
                <w:lang w:val="en-US" w:eastAsia="zh-CN"/>
              </w:rPr>
              <w:t>5。</w:t>
            </w:r>
          </w:p>
        </w:tc>
        <w:tc>
          <w:tcPr>
            <w:tcW w:w="654" w:type="dxa"/>
            <w:tcBorders>
              <w:top w:val="nil"/>
              <w:left w:val="nil"/>
              <w:bottom w:val="single" w:color="auto" w:sz="8" w:space="0"/>
              <w:right w:val="single" w:color="auto" w:sz="8" w:space="0"/>
            </w:tcBorders>
            <w:shd w:val="clear" w:color="auto" w:fill="auto"/>
            <w:vAlign w:val="center"/>
          </w:tcPr>
          <w:p w14:paraId="606D876F">
            <w:pPr>
              <w:widowControl/>
              <w:rPr>
                <w:rFonts w:ascii="仿宋" w:hAnsi="仿宋" w:eastAsia="仿宋" w:cs="仿宋_GB2312"/>
                <w:sz w:val="22"/>
              </w:rPr>
            </w:pPr>
          </w:p>
        </w:tc>
        <w:tc>
          <w:tcPr>
            <w:tcW w:w="1723" w:type="dxa"/>
            <w:vMerge w:val="continue"/>
            <w:tcBorders>
              <w:left w:val="nil"/>
              <w:bottom w:val="single" w:color="auto" w:sz="8" w:space="0"/>
              <w:right w:val="single" w:color="auto" w:sz="8" w:space="0"/>
            </w:tcBorders>
          </w:tcPr>
          <w:p w14:paraId="3795D758">
            <w:pPr>
              <w:widowControl/>
              <w:rPr>
                <w:rFonts w:hint="eastAsia" w:ascii="仿宋" w:hAnsi="仿宋" w:eastAsia="仿宋" w:cs="仿宋_GB2312"/>
              </w:rPr>
            </w:pPr>
          </w:p>
        </w:tc>
      </w:tr>
      <w:tr w14:paraId="4E8A3471">
        <w:tblPrEx>
          <w:tblCellMar>
            <w:top w:w="0" w:type="dxa"/>
            <w:left w:w="108" w:type="dxa"/>
            <w:bottom w:w="0" w:type="dxa"/>
            <w:right w:w="108" w:type="dxa"/>
          </w:tblCellMar>
        </w:tblPrEx>
        <w:trPr>
          <w:trHeight w:val="1339" w:hRule="atLeast"/>
        </w:trPr>
        <w:tc>
          <w:tcPr>
            <w:tcW w:w="851" w:type="dxa"/>
            <w:vMerge w:val="restart"/>
            <w:tcBorders>
              <w:top w:val="nil"/>
              <w:left w:val="single" w:color="auto" w:sz="8" w:space="0"/>
              <w:right w:val="single" w:color="auto" w:sz="8" w:space="0"/>
            </w:tcBorders>
            <w:shd w:val="clear" w:color="auto" w:fill="auto"/>
            <w:vAlign w:val="center"/>
          </w:tcPr>
          <w:p w14:paraId="1F6FB63F">
            <w:pPr>
              <w:widowControl/>
              <w:jc w:val="center"/>
              <w:rPr>
                <w:rFonts w:hint="eastAsia" w:ascii="仿宋" w:hAnsi="仿宋" w:eastAsia="仿宋" w:cs="仿宋_GB2312"/>
                <w:i w:val="0"/>
                <w:iCs w:val="0"/>
                <w:color w:val="auto"/>
                <w:kern w:val="2"/>
                <w:sz w:val="22"/>
                <w:szCs w:val="22"/>
                <w:u w:val="none"/>
                <w:lang w:val="en-US" w:eastAsia="zh-CN" w:bidi="ar"/>
              </w:rPr>
            </w:pPr>
            <w:r>
              <w:rPr>
                <w:rFonts w:hint="eastAsia" w:ascii="仿宋" w:hAnsi="仿宋" w:eastAsia="仿宋" w:cs="仿宋_GB2312"/>
                <w:i w:val="0"/>
                <w:iCs w:val="0"/>
                <w:color w:val="auto"/>
                <w:kern w:val="2"/>
                <w:sz w:val="22"/>
                <w:szCs w:val="22"/>
                <w:u w:val="none"/>
                <w:lang w:val="en-US" w:eastAsia="zh-CN" w:bidi="ar"/>
              </w:rPr>
              <w:t>2</w:t>
            </w:r>
          </w:p>
        </w:tc>
        <w:tc>
          <w:tcPr>
            <w:tcW w:w="1752" w:type="dxa"/>
            <w:gridSpan w:val="2"/>
            <w:vMerge w:val="restart"/>
            <w:tcBorders>
              <w:top w:val="single" w:color="auto" w:sz="8" w:space="0"/>
              <w:left w:val="nil"/>
              <w:right w:val="single" w:color="000000" w:sz="8" w:space="0"/>
            </w:tcBorders>
            <w:shd w:val="clear" w:color="000000" w:fill="auto"/>
            <w:vAlign w:val="center"/>
          </w:tcPr>
          <w:p w14:paraId="1C253D09">
            <w:pPr>
              <w:widowControl/>
              <w:jc w:val="center"/>
              <w:rPr>
                <w:rFonts w:hint="eastAsia" w:ascii="仿宋" w:hAnsi="仿宋" w:eastAsia="仿宋" w:cs="仿宋_GB2312"/>
                <w:i w:val="0"/>
                <w:iCs w:val="0"/>
                <w:color w:val="auto"/>
                <w:kern w:val="2"/>
                <w:sz w:val="22"/>
                <w:szCs w:val="22"/>
                <w:u w:val="none"/>
                <w:lang w:val="en-US" w:eastAsia="zh-CN" w:bidi="ar"/>
              </w:rPr>
            </w:pPr>
            <w:r>
              <w:rPr>
                <w:rFonts w:hint="eastAsia" w:ascii="仿宋" w:hAnsi="仿宋" w:eastAsia="仿宋" w:cs="仿宋_GB2312"/>
                <w:i w:val="0"/>
                <w:iCs w:val="0"/>
                <w:color w:val="auto"/>
                <w:kern w:val="2"/>
                <w:sz w:val="22"/>
                <w:szCs w:val="22"/>
                <w:u w:val="none"/>
                <w:lang w:val="en-US" w:eastAsia="zh-CN" w:bidi="ar"/>
              </w:rPr>
              <w:t>响应程度</w:t>
            </w:r>
          </w:p>
          <w:p w14:paraId="53D89DAF">
            <w:pPr>
              <w:widowControl/>
              <w:jc w:val="center"/>
              <w:rPr>
                <w:rFonts w:hint="eastAsia" w:ascii="仿宋" w:hAnsi="仿宋" w:eastAsia="仿宋" w:cs="仿宋_GB2312"/>
                <w:i w:val="0"/>
                <w:iCs w:val="0"/>
                <w:color w:val="auto"/>
                <w:kern w:val="2"/>
                <w:sz w:val="22"/>
                <w:szCs w:val="22"/>
                <w:u w:val="none"/>
                <w:lang w:val="en-US" w:eastAsia="zh-CN" w:bidi="ar"/>
              </w:rPr>
            </w:pPr>
            <w:r>
              <w:rPr>
                <w:rFonts w:hint="eastAsia" w:ascii="仿宋" w:hAnsi="仿宋" w:eastAsia="仿宋" w:cs="仿宋_GB2312"/>
                <w:i w:val="0"/>
                <w:iCs w:val="0"/>
                <w:color w:val="auto"/>
                <w:kern w:val="2"/>
                <w:sz w:val="22"/>
                <w:szCs w:val="22"/>
                <w:u w:val="none"/>
                <w:lang w:val="en-US" w:eastAsia="zh-CN" w:bidi="ar"/>
              </w:rPr>
              <w:t>（30分）</w:t>
            </w:r>
          </w:p>
        </w:tc>
        <w:tc>
          <w:tcPr>
            <w:tcW w:w="737" w:type="dxa"/>
            <w:tcBorders>
              <w:top w:val="nil"/>
              <w:left w:val="nil"/>
              <w:bottom w:val="single" w:color="auto" w:sz="8" w:space="0"/>
              <w:right w:val="single" w:color="auto" w:sz="8" w:space="0"/>
            </w:tcBorders>
            <w:shd w:val="clear" w:color="000000" w:fill="auto"/>
            <w:vAlign w:val="center"/>
          </w:tcPr>
          <w:p w14:paraId="641D5A04">
            <w:pPr>
              <w:widowControl/>
              <w:jc w:val="center"/>
              <w:rPr>
                <w:rFonts w:hint="default" w:ascii="仿宋" w:hAnsi="仿宋" w:eastAsia="仿宋" w:cs="仿宋_GB2312"/>
                <w:i w:val="0"/>
                <w:iCs w:val="0"/>
                <w:color w:val="auto"/>
                <w:kern w:val="2"/>
                <w:sz w:val="22"/>
                <w:szCs w:val="22"/>
                <w:u w:val="none"/>
                <w:lang w:val="en-US" w:eastAsia="zh-CN" w:bidi="ar"/>
              </w:rPr>
            </w:pPr>
            <w:r>
              <w:rPr>
                <w:rFonts w:hint="eastAsia" w:ascii="仿宋" w:hAnsi="仿宋" w:eastAsia="仿宋" w:cs="仿宋_GB2312"/>
                <w:i w:val="0"/>
                <w:iCs w:val="0"/>
                <w:color w:val="auto"/>
                <w:kern w:val="2"/>
                <w:sz w:val="22"/>
                <w:szCs w:val="22"/>
                <w:u w:val="none"/>
                <w:lang w:val="en-US" w:eastAsia="zh-CN" w:bidi="ar"/>
              </w:rPr>
              <w:t>12</w:t>
            </w:r>
          </w:p>
        </w:tc>
        <w:tc>
          <w:tcPr>
            <w:tcW w:w="4708" w:type="dxa"/>
            <w:tcBorders>
              <w:top w:val="nil"/>
              <w:left w:val="nil"/>
              <w:bottom w:val="single" w:color="auto" w:sz="8" w:space="0"/>
              <w:right w:val="single" w:color="auto" w:sz="8" w:space="0"/>
            </w:tcBorders>
            <w:shd w:val="clear" w:color="000000" w:fill="auto"/>
            <w:vAlign w:val="center"/>
          </w:tcPr>
          <w:p w14:paraId="3EFAD875">
            <w:pPr>
              <w:widowControl/>
              <w:jc w:val="left"/>
              <w:rPr>
                <w:rFonts w:hint="eastAsia" w:ascii="仿宋" w:hAnsi="仿宋" w:eastAsia="仿宋" w:cs="仿宋_GB2312"/>
                <w:i w:val="0"/>
                <w:iCs w:val="0"/>
                <w:color w:val="auto"/>
                <w:kern w:val="2"/>
                <w:sz w:val="22"/>
                <w:szCs w:val="22"/>
                <w:u w:val="none"/>
                <w:lang w:val="en-US" w:eastAsia="zh-CN" w:bidi="ar"/>
              </w:rPr>
            </w:pPr>
            <w:r>
              <w:rPr>
                <w:rFonts w:hint="eastAsia" w:ascii="仿宋" w:hAnsi="仿宋" w:eastAsia="仿宋" w:cs="仿宋_GB2312"/>
                <w:i w:val="0"/>
                <w:iCs w:val="0"/>
                <w:color w:val="auto"/>
                <w:kern w:val="2"/>
                <w:sz w:val="22"/>
                <w:szCs w:val="22"/>
                <w:u w:val="none"/>
                <w:lang w:val="en-US" w:eastAsia="zh-CN" w:bidi="ar"/>
              </w:rPr>
              <w:t>1.参选单位一般条款的响应得分规则如下：（一般条款是指：除标注“▲” 的条款以外的所有条款，一共12项）</w:t>
            </w:r>
          </w:p>
          <w:p w14:paraId="5560A34A">
            <w:pPr>
              <w:widowControl/>
              <w:jc w:val="left"/>
              <w:rPr>
                <w:rFonts w:hint="eastAsia" w:ascii="仿宋" w:hAnsi="仿宋" w:eastAsia="仿宋" w:cs="仿宋_GB2312"/>
                <w:i w:val="0"/>
                <w:iCs w:val="0"/>
                <w:color w:val="auto"/>
                <w:kern w:val="2"/>
                <w:sz w:val="22"/>
                <w:szCs w:val="22"/>
                <w:u w:val="none"/>
                <w:lang w:val="en-US" w:eastAsia="zh-CN" w:bidi="ar"/>
              </w:rPr>
            </w:pPr>
            <w:r>
              <w:rPr>
                <w:rFonts w:hint="eastAsia" w:ascii="仿宋" w:hAnsi="仿宋" w:eastAsia="仿宋" w:cs="仿宋_GB2312"/>
                <w:i w:val="0"/>
                <w:iCs w:val="0"/>
                <w:color w:val="auto"/>
                <w:kern w:val="2"/>
                <w:sz w:val="22"/>
                <w:szCs w:val="22"/>
                <w:u w:val="none"/>
                <w:lang w:val="en-US" w:eastAsia="zh-CN" w:bidi="ar"/>
              </w:rPr>
              <w:t>全部满足为满分，不满足一条扣1分，扣完为止。</w:t>
            </w:r>
          </w:p>
        </w:tc>
        <w:tc>
          <w:tcPr>
            <w:tcW w:w="654" w:type="dxa"/>
            <w:tcBorders>
              <w:top w:val="nil"/>
              <w:left w:val="nil"/>
              <w:bottom w:val="single" w:color="auto" w:sz="8" w:space="0"/>
              <w:right w:val="single" w:color="auto" w:sz="8" w:space="0"/>
            </w:tcBorders>
            <w:shd w:val="clear" w:color="000000" w:fill="auto"/>
            <w:vAlign w:val="center"/>
          </w:tcPr>
          <w:p w14:paraId="5EF18535">
            <w:pPr>
              <w:widowControl/>
              <w:jc w:val="left"/>
              <w:rPr>
                <w:rFonts w:hint="eastAsia" w:ascii="仿宋" w:hAnsi="仿宋" w:eastAsia="仿宋" w:cs="仿宋_GB2312"/>
                <w:i w:val="0"/>
                <w:iCs w:val="0"/>
                <w:color w:val="auto"/>
                <w:kern w:val="2"/>
                <w:sz w:val="22"/>
                <w:szCs w:val="22"/>
                <w:u w:val="none"/>
                <w:lang w:val="en-US" w:eastAsia="zh-CN" w:bidi="ar"/>
              </w:rPr>
            </w:pPr>
          </w:p>
        </w:tc>
        <w:tc>
          <w:tcPr>
            <w:tcW w:w="1723" w:type="dxa"/>
            <w:vMerge w:val="restart"/>
            <w:tcBorders>
              <w:top w:val="nil"/>
              <w:left w:val="nil"/>
              <w:right w:val="single" w:color="auto" w:sz="8" w:space="0"/>
            </w:tcBorders>
            <w:shd w:val="clear" w:color="000000" w:fill="auto"/>
            <w:vAlign w:val="top"/>
          </w:tcPr>
          <w:p w14:paraId="6F78186A">
            <w:pPr>
              <w:widowControl/>
              <w:shd w:val="clear"/>
              <w:jc w:val="left"/>
              <w:rPr>
                <w:rFonts w:hint="eastAsia" w:ascii="仿宋" w:hAnsi="仿宋" w:eastAsia="仿宋" w:cs="仿宋_GB2312"/>
                <w:i w:val="0"/>
                <w:iCs w:val="0"/>
                <w:color w:val="auto"/>
                <w:kern w:val="2"/>
                <w:sz w:val="22"/>
                <w:szCs w:val="22"/>
                <w:u w:val="none"/>
                <w:lang w:val="en-US" w:eastAsia="zh-CN" w:bidi="ar"/>
              </w:rPr>
            </w:pPr>
            <w:r>
              <w:rPr>
                <w:rFonts w:hint="eastAsia" w:ascii="仿宋" w:hAnsi="仿宋" w:eastAsia="仿宋" w:cs="仿宋_GB2312"/>
                <w:i w:val="0"/>
                <w:iCs w:val="0"/>
                <w:color w:val="auto"/>
                <w:kern w:val="2"/>
                <w:sz w:val="22"/>
                <w:szCs w:val="22"/>
                <w:u w:val="none"/>
                <w:lang w:val="en-US" w:eastAsia="zh-CN" w:bidi="ar"/>
              </w:rPr>
              <w:t>①如果响应文件中的条款参数没有按照要求提供相应支持资料的，该条参数在评审中将不予认定。</w:t>
            </w:r>
          </w:p>
          <w:p w14:paraId="09D1851B">
            <w:pPr>
              <w:widowControl/>
              <w:shd w:val="clear"/>
              <w:jc w:val="left"/>
              <w:rPr>
                <w:rFonts w:hint="default" w:ascii="仿宋" w:hAnsi="仿宋" w:eastAsia="仿宋" w:cs="仿宋_GB2312"/>
                <w:i w:val="0"/>
                <w:iCs w:val="0"/>
                <w:color w:val="auto"/>
                <w:kern w:val="2"/>
                <w:sz w:val="22"/>
                <w:szCs w:val="22"/>
                <w:u w:val="none"/>
                <w:lang w:val="en-US" w:eastAsia="zh-CN" w:bidi="ar"/>
              </w:rPr>
            </w:pPr>
            <w:r>
              <w:rPr>
                <w:rFonts w:hint="eastAsia" w:ascii="仿宋" w:hAnsi="仿宋" w:eastAsia="仿宋" w:cs="仿宋_GB2312"/>
                <w:i w:val="0"/>
                <w:iCs w:val="0"/>
                <w:color w:val="auto"/>
                <w:kern w:val="2"/>
                <w:sz w:val="22"/>
                <w:szCs w:val="22"/>
                <w:u w:val="none"/>
                <w:lang w:val="en-US" w:eastAsia="zh-CN" w:bidi="ar"/>
              </w:rPr>
              <w:t>②该条对于遴选文件附件1“四、技术服务要求”评分。</w:t>
            </w:r>
          </w:p>
          <w:p w14:paraId="79D468F9">
            <w:pPr>
              <w:widowControl/>
              <w:shd w:val="clear"/>
              <w:jc w:val="left"/>
              <w:rPr>
                <w:rFonts w:hint="eastAsia" w:ascii="仿宋" w:hAnsi="仿宋" w:eastAsia="仿宋" w:cs="仿宋_GB2312"/>
                <w:i w:val="0"/>
                <w:iCs w:val="0"/>
                <w:color w:val="auto"/>
                <w:kern w:val="2"/>
                <w:sz w:val="22"/>
                <w:szCs w:val="22"/>
                <w:u w:val="none"/>
                <w:lang w:val="en-US" w:eastAsia="zh-CN" w:bidi="ar"/>
              </w:rPr>
            </w:pPr>
            <w:r>
              <w:rPr>
                <w:rFonts w:hint="eastAsia" w:ascii="仿宋" w:hAnsi="仿宋" w:eastAsia="仿宋" w:cs="仿宋_GB2312"/>
                <w:i w:val="0"/>
                <w:iCs w:val="0"/>
                <w:color w:val="auto"/>
                <w:kern w:val="2"/>
                <w:sz w:val="22"/>
                <w:szCs w:val="22"/>
                <w:u w:val="none"/>
                <w:lang w:val="en-US" w:eastAsia="zh-CN" w:bidi="ar"/>
              </w:rPr>
              <w:t>③带▲条款为重要条款的响应。</w:t>
            </w:r>
          </w:p>
        </w:tc>
      </w:tr>
      <w:tr w14:paraId="7F1EF04B">
        <w:tblPrEx>
          <w:tblCellMar>
            <w:top w:w="0" w:type="dxa"/>
            <w:left w:w="108" w:type="dxa"/>
            <w:bottom w:w="0" w:type="dxa"/>
            <w:right w:w="108" w:type="dxa"/>
          </w:tblCellMar>
        </w:tblPrEx>
        <w:trPr>
          <w:trHeight w:val="1339" w:hRule="atLeast"/>
        </w:trPr>
        <w:tc>
          <w:tcPr>
            <w:tcW w:w="851" w:type="dxa"/>
            <w:vMerge w:val="continue"/>
            <w:tcBorders>
              <w:left w:val="single" w:color="auto" w:sz="8" w:space="0"/>
              <w:bottom w:val="single" w:color="auto" w:sz="8" w:space="0"/>
              <w:right w:val="single" w:color="auto" w:sz="8" w:space="0"/>
            </w:tcBorders>
            <w:shd w:val="clear" w:color="auto" w:fill="auto"/>
            <w:vAlign w:val="center"/>
          </w:tcPr>
          <w:p w14:paraId="170E7920">
            <w:pPr>
              <w:widowControl/>
              <w:jc w:val="center"/>
              <w:rPr>
                <w:rFonts w:hint="eastAsia" w:ascii="仿宋" w:hAnsi="仿宋" w:eastAsia="仿宋" w:cs="仿宋_GB2312"/>
                <w:i w:val="0"/>
                <w:iCs w:val="0"/>
                <w:color w:val="auto"/>
                <w:kern w:val="2"/>
                <w:sz w:val="22"/>
                <w:szCs w:val="22"/>
                <w:u w:val="none"/>
                <w:lang w:val="en-US" w:eastAsia="zh-CN" w:bidi="ar"/>
              </w:rPr>
            </w:pPr>
          </w:p>
        </w:tc>
        <w:tc>
          <w:tcPr>
            <w:tcW w:w="1752" w:type="dxa"/>
            <w:gridSpan w:val="2"/>
            <w:vMerge w:val="continue"/>
            <w:tcBorders>
              <w:left w:val="nil"/>
              <w:bottom w:val="single" w:color="auto" w:sz="8" w:space="0"/>
              <w:right w:val="single" w:color="000000" w:sz="8" w:space="0"/>
            </w:tcBorders>
            <w:shd w:val="clear" w:color="000000" w:fill="auto"/>
            <w:vAlign w:val="center"/>
          </w:tcPr>
          <w:p w14:paraId="09E85C42">
            <w:pPr>
              <w:widowControl/>
              <w:jc w:val="left"/>
              <w:rPr>
                <w:rFonts w:hint="eastAsia" w:ascii="仿宋" w:hAnsi="仿宋" w:eastAsia="仿宋" w:cs="仿宋_GB2312"/>
                <w:i w:val="0"/>
                <w:iCs w:val="0"/>
                <w:color w:val="auto"/>
                <w:kern w:val="2"/>
                <w:sz w:val="22"/>
                <w:szCs w:val="22"/>
                <w:u w:val="none"/>
                <w:lang w:val="en-US" w:eastAsia="zh-CN" w:bidi="ar"/>
              </w:rPr>
            </w:pPr>
          </w:p>
        </w:tc>
        <w:tc>
          <w:tcPr>
            <w:tcW w:w="737" w:type="dxa"/>
            <w:tcBorders>
              <w:top w:val="nil"/>
              <w:left w:val="nil"/>
              <w:bottom w:val="single" w:color="auto" w:sz="8" w:space="0"/>
              <w:right w:val="single" w:color="auto" w:sz="8" w:space="0"/>
            </w:tcBorders>
            <w:shd w:val="clear" w:color="000000" w:fill="auto"/>
            <w:vAlign w:val="center"/>
          </w:tcPr>
          <w:p w14:paraId="32B534A8">
            <w:pPr>
              <w:widowControl/>
              <w:jc w:val="center"/>
              <w:rPr>
                <w:rFonts w:hint="default" w:ascii="仿宋" w:hAnsi="仿宋" w:eastAsia="仿宋" w:cs="仿宋_GB2312"/>
                <w:i w:val="0"/>
                <w:iCs w:val="0"/>
                <w:color w:val="auto"/>
                <w:kern w:val="2"/>
                <w:sz w:val="22"/>
                <w:szCs w:val="22"/>
                <w:u w:val="none"/>
                <w:lang w:val="en-US" w:eastAsia="zh-CN" w:bidi="ar"/>
              </w:rPr>
            </w:pPr>
            <w:r>
              <w:rPr>
                <w:rFonts w:hint="eastAsia" w:ascii="仿宋" w:hAnsi="仿宋" w:eastAsia="仿宋" w:cs="仿宋_GB2312"/>
                <w:i w:val="0"/>
                <w:iCs w:val="0"/>
                <w:color w:val="auto"/>
                <w:kern w:val="2"/>
                <w:sz w:val="22"/>
                <w:szCs w:val="22"/>
                <w:u w:val="none"/>
                <w:lang w:val="en-US" w:eastAsia="zh-CN" w:bidi="ar"/>
              </w:rPr>
              <w:t>18</w:t>
            </w:r>
          </w:p>
        </w:tc>
        <w:tc>
          <w:tcPr>
            <w:tcW w:w="4708" w:type="dxa"/>
            <w:tcBorders>
              <w:top w:val="nil"/>
              <w:left w:val="nil"/>
              <w:bottom w:val="single" w:color="auto" w:sz="8" w:space="0"/>
              <w:right w:val="single" w:color="auto" w:sz="8" w:space="0"/>
            </w:tcBorders>
            <w:shd w:val="clear" w:color="000000" w:fill="auto"/>
            <w:vAlign w:val="center"/>
          </w:tcPr>
          <w:p w14:paraId="3839BD05">
            <w:pPr>
              <w:widowControl/>
              <w:jc w:val="left"/>
              <w:rPr>
                <w:rFonts w:hint="eastAsia" w:ascii="仿宋" w:hAnsi="仿宋" w:eastAsia="仿宋" w:cs="仿宋_GB2312"/>
                <w:i w:val="0"/>
                <w:iCs w:val="0"/>
                <w:color w:val="auto"/>
                <w:kern w:val="2"/>
                <w:sz w:val="22"/>
                <w:szCs w:val="22"/>
                <w:u w:val="none"/>
                <w:lang w:val="en-US" w:eastAsia="zh-CN" w:bidi="ar"/>
              </w:rPr>
            </w:pPr>
            <w:r>
              <w:rPr>
                <w:rFonts w:hint="eastAsia" w:ascii="仿宋" w:hAnsi="仿宋" w:eastAsia="仿宋" w:cs="仿宋_GB2312"/>
                <w:i w:val="0"/>
                <w:iCs w:val="0"/>
                <w:color w:val="auto"/>
                <w:kern w:val="2"/>
                <w:sz w:val="22"/>
                <w:szCs w:val="22"/>
                <w:u w:val="none"/>
                <w:lang w:val="en-US" w:eastAsia="zh-CN" w:bidi="ar"/>
              </w:rPr>
              <w:t>2.“▲”条款技术参数有8项，带▲条款的响应得分规则如下：全部满足带▲条为满分，不满足一条扣2.25分，扣完为止。</w:t>
            </w:r>
          </w:p>
        </w:tc>
        <w:tc>
          <w:tcPr>
            <w:tcW w:w="654" w:type="dxa"/>
            <w:tcBorders>
              <w:top w:val="nil"/>
              <w:left w:val="nil"/>
              <w:bottom w:val="single" w:color="auto" w:sz="8" w:space="0"/>
              <w:right w:val="single" w:color="auto" w:sz="8" w:space="0"/>
            </w:tcBorders>
            <w:shd w:val="clear" w:color="000000" w:fill="auto"/>
            <w:vAlign w:val="center"/>
          </w:tcPr>
          <w:p w14:paraId="6672F4FD">
            <w:pPr>
              <w:widowControl/>
              <w:jc w:val="left"/>
              <w:rPr>
                <w:rFonts w:hint="eastAsia" w:ascii="仿宋" w:hAnsi="仿宋" w:eastAsia="仿宋" w:cs="仿宋_GB2312"/>
                <w:i w:val="0"/>
                <w:iCs w:val="0"/>
                <w:color w:val="auto"/>
                <w:kern w:val="2"/>
                <w:sz w:val="22"/>
                <w:szCs w:val="22"/>
                <w:u w:val="none"/>
                <w:lang w:val="en-US" w:eastAsia="zh-CN" w:bidi="ar"/>
              </w:rPr>
            </w:pPr>
          </w:p>
        </w:tc>
        <w:tc>
          <w:tcPr>
            <w:tcW w:w="1723" w:type="dxa"/>
            <w:vMerge w:val="continue"/>
            <w:tcBorders>
              <w:left w:val="nil"/>
              <w:bottom w:val="single" w:color="auto" w:sz="8" w:space="0"/>
              <w:right w:val="single" w:color="auto" w:sz="8" w:space="0"/>
            </w:tcBorders>
            <w:shd w:val="clear" w:color="000000" w:fill="auto"/>
          </w:tcPr>
          <w:p w14:paraId="518DC3F3">
            <w:pPr>
              <w:widowControl/>
              <w:jc w:val="left"/>
              <w:rPr>
                <w:rFonts w:hint="eastAsia" w:ascii="仿宋" w:hAnsi="仿宋" w:eastAsia="仿宋" w:cs="仿宋_GB2312"/>
                <w:i w:val="0"/>
                <w:iCs w:val="0"/>
                <w:color w:val="auto"/>
                <w:kern w:val="2"/>
                <w:sz w:val="22"/>
                <w:szCs w:val="22"/>
                <w:u w:val="none"/>
                <w:lang w:val="en-US" w:eastAsia="zh-CN" w:bidi="ar"/>
              </w:rPr>
            </w:pPr>
          </w:p>
        </w:tc>
      </w:tr>
      <w:tr w14:paraId="7EC74936">
        <w:tblPrEx>
          <w:tblCellMar>
            <w:top w:w="0" w:type="dxa"/>
            <w:left w:w="108" w:type="dxa"/>
            <w:bottom w:w="0" w:type="dxa"/>
            <w:right w:w="108" w:type="dxa"/>
          </w:tblCellMar>
        </w:tblPrEx>
        <w:trPr>
          <w:trHeight w:val="445" w:hRule="atLeast"/>
        </w:trPr>
        <w:tc>
          <w:tcPr>
            <w:tcW w:w="851" w:type="dxa"/>
            <w:vMerge w:val="restart"/>
            <w:tcBorders>
              <w:top w:val="nil"/>
              <w:left w:val="single" w:color="auto" w:sz="8" w:space="0"/>
              <w:bottom w:val="nil"/>
              <w:right w:val="single" w:color="auto" w:sz="8" w:space="0"/>
            </w:tcBorders>
            <w:vAlign w:val="center"/>
          </w:tcPr>
          <w:p w14:paraId="6FAA925D">
            <w:pPr>
              <w:widowControl/>
              <w:shd w:val="clear"/>
              <w:jc w:val="center"/>
              <w:rPr>
                <w:rFonts w:ascii="仿宋" w:hAnsi="仿宋" w:eastAsia="仿宋" w:cs="宋体"/>
                <w:b/>
                <w:bCs/>
                <w:color w:val="000000"/>
                <w:kern w:val="0"/>
                <w:sz w:val="22"/>
                <w:szCs w:val="24"/>
              </w:rPr>
            </w:pPr>
            <w:r>
              <w:rPr>
                <w:rFonts w:ascii="仿宋" w:hAnsi="仿宋" w:eastAsia="仿宋" w:cs="宋体"/>
                <w:b/>
                <w:bCs/>
                <w:color w:val="000000"/>
                <w:kern w:val="0"/>
                <w:sz w:val="22"/>
                <w:szCs w:val="24"/>
              </w:rPr>
              <w:t>3</w:t>
            </w:r>
          </w:p>
        </w:tc>
        <w:tc>
          <w:tcPr>
            <w:tcW w:w="986" w:type="dxa"/>
            <w:vMerge w:val="restart"/>
            <w:tcBorders>
              <w:top w:val="single" w:color="auto" w:sz="4" w:space="0"/>
              <w:left w:val="single" w:color="auto" w:sz="8" w:space="0"/>
              <w:bottom w:val="nil"/>
              <w:right w:val="single" w:color="auto" w:sz="8" w:space="0"/>
            </w:tcBorders>
            <w:vAlign w:val="center"/>
          </w:tcPr>
          <w:p w14:paraId="3EF49EC9">
            <w:pPr>
              <w:shd w:val="clear"/>
              <w:jc w:val="center"/>
              <w:rPr>
                <w:rFonts w:hint="eastAsia" w:ascii="仿宋" w:hAnsi="仿宋" w:eastAsia="仿宋" w:cs="仿宋_GB2312"/>
                <w:sz w:val="22"/>
              </w:rPr>
            </w:pPr>
            <w:r>
              <w:rPr>
                <w:rFonts w:hint="eastAsia" w:ascii="仿宋" w:hAnsi="仿宋" w:eastAsia="仿宋" w:cs="仿宋_GB2312"/>
                <w:sz w:val="22"/>
              </w:rPr>
              <w:t>机构实力</w:t>
            </w:r>
          </w:p>
          <w:p w14:paraId="7DBDE8E6">
            <w:pPr>
              <w:shd w:val="clear"/>
              <w:jc w:val="center"/>
              <w:rPr>
                <w:rFonts w:ascii="仿宋" w:hAnsi="仿宋" w:eastAsia="仿宋" w:cs="仿宋_GB2312"/>
                <w:sz w:val="22"/>
              </w:rPr>
            </w:pPr>
            <w:r>
              <w:rPr>
                <w:rFonts w:hint="eastAsia" w:ascii="仿宋" w:hAnsi="仿宋" w:eastAsia="仿宋" w:cs="仿宋_GB2312"/>
                <w:sz w:val="22"/>
              </w:rPr>
              <w:t>（37</w:t>
            </w:r>
            <w:r>
              <w:rPr>
                <w:rFonts w:hint="eastAsia" w:ascii="仿宋" w:hAnsi="仿宋" w:eastAsia="仿宋" w:cs="仿宋_GB2312"/>
                <w:sz w:val="22"/>
                <w:lang w:val="en-US" w:eastAsia="zh-CN"/>
              </w:rPr>
              <w:t>%</w:t>
            </w:r>
            <w:r>
              <w:rPr>
                <w:rFonts w:hint="eastAsia" w:ascii="仿宋" w:hAnsi="仿宋" w:eastAsia="仿宋" w:cs="仿宋_GB2312"/>
                <w:sz w:val="22"/>
              </w:rPr>
              <w:t>）</w:t>
            </w:r>
          </w:p>
        </w:tc>
        <w:tc>
          <w:tcPr>
            <w:tcW w:w="766" w:type="dxa"/>
            <w:vMerge w:val="restart"/>
            <w:tcBorders>
              <w:top w:val="nil"/>
              <w:left w:val="single" w:color="auto" w:sz="8" w:space="0"/>
              <w:bottom w:val="single" w:color="000000" w:sz="8" w:space="0"/>
              <w:right w:val="single" w:color="auto" w:sz="8" w:space="0"/>
            </w:tcBorders>
            <w:shd w:val="clear" w:color="auto" w:fill="auto"/>
            <w:vAlign w:val="center"/>
          </w:tcPr>
          <w:p w14:paraId="799CCE24">
            <w:pPr>
              <w:widowControl/>
              <w:shd w:val="clear"/>
              <w:jc w:val="center"/>
              <w:rPr>
                <w:rFonts w:ascii="仿宋" w:hAnsi="仿宋" w:eastAsia="仿宋" w:cs="仿宋_GB2312"/>
                <w:sz w:val="22"/>
              </w:rPr>
            </w:pPr>
            <w:r>
              <w:rPr>
                <w:rFonts w:hint="eastAsia" w:ascii="仿宋" w:hAnsi="仿宋" w:eastAsia="仿宋" w:cs="仿宋_GB2312"/>
                <w:sz w:val="22"/>
              </w:rPr>
              <w:t>实验室资质</w:t>
            </w:r>
          </w:p>
        </w:tc>
        <w:tc>
          <w:tcPr>
            <w:tcW w:w="737" w:type="dxa"/>
            <w:tcBorders>
              <w:top w:val="nil"/>
              <w:left w:val="nil"/>
              <w:bottom w:val="single" w:color="auto" w:sz="8" w:space="0"/>
              <w:right w:val="single" w:color="auto" w:sz="8" w:space="0"/>
            </w:tcBorders>
            <w:shd w:val="clear" w:color="auto" w:fill="auto"/>
            <w:vAlign w:val="center"/>
          </w:tcPr>
          <w:p w14:paraId="0F9D2E65">
            <w:pPr>
              <w:widowControl/>
              <w:shd w:val="clear"/>
              <w:jc w:val="center"/>
              <w:rPr>
                <w:rFonts w:ascii="仿宋" w:hAnsi="仿宋" w:eastAsia="仿宋" w:cs="仿宋_GB2312"/>
                <w:sz w:val="22"/>
              </w:rPr>
            </w:pPr>
            <w:r>
              <w:rPr>
                <w:rFonts w:hint="eastAsia" w:ascii="仿宋" w:hAnsi="仿宋" w:eastAsia="仿宋" w:cs="仿宋_GB2312"/>
                <w:sz w:val="22"/>
              </w:rPr>
              <w:t>1</w:t>
            </w:r>
          </w:p>
        </w:tc>
        <w:tc>
          <w:tcPr>
            <w:tcW w:w="4708" w:type="dxa"/>
            <w:tcBorders>
              <w:top w:val="nil"/>
              <w:left w:val="nil"/>
              <w:bottom w:val="single" w:color="auto" w:sz="8" w:space="0"/>
              <w:right w:val="single" w:color="auto" w:sz="8" w:space="0"/>
            </w:tcBorders>
            <w:shd w:val="clear" w:color="auto" w:fill="auto"/>
            <w:vAlign w:val="center"/>
          </w:tcPr>
          <w:p w14:paraId="1C09A126">
            <w:pPr>
              <w:widowControl/>
              <w:shd w:val="clear"/>
              <w:jc w:val="left"/>
              <w:rPr>
                <w:rFonts w:ascii="仿宋" w:hAnsi="仿宋" w:eastAsia="仿宋" w:cs="仿宋_GB2312"/>
                <w:color w:val="FF0000"/>
                <w:sz w:val="22"/>
              </w:rPr>
            </w:pPr>
            <w:r>
              <w:rPr>
                <w:rFonts w:ascii="仿宋" w:hAnsi="仿宋" w:eastAsia="仿宋" w:cs="仿宋_GB2312"/>
                <w:sz w:val="22"/>
              </w:rPr>
              <w:t>参选单位</w:t>
            </w:r>
            <w:r>
              <w:rPr>
                <w:rFonts w:hint="eastAsia" w:ascii="仿宋" w:hAnsi="仿宋" w:eastAsia="仿宋" w:cs="仿宋_GB2312"/>
                <w:sz w:val="22"/>
              </w:rPr>
              <w:t>通过ISO15189认证的得1分，未通过的不得分。</w:t>
            </w:r>
          </w:p>
        </w:tc>
        <w:tc>
          <w:tcPr>
            <w:tcW w:w="654" w:type="dxa"/>
            <w:tcBorders>
              <w:top w:val="nil"/>
              <w:left w:val="nil"/>
              <w:bottom w:val="single" w:color="auto" w:sz="8" w:space="0"/>
              <w:right w:val="single" w:color="auto" w:sz="8" w:space="0"/>
            </w:tcBorders>
            <w:shd w:val="clear" w:color="000000" w:fill="auto"/>
            <w:vAlign w:val="center"/>
          </w:tcPr>
          <w:p w14:paraId="3877FB15">
            <w:pPr>
              <w:widowControl/>
              <w:shd w:val="clear"/>
              <w:jc w:val="center"/>
              <w:rPr>
                <w:rFonts w:ascii="仿宋" w:hAnsi="仿宋" w:eastAsia="仿宋" w:cs="仿宋_GB2312"/>
                <w:sz w:val="22"/>
              </w:rPr>
            </w:pPr>
          </w:p>
        </w:tc>
        <w:tc>
          <w:tcPr>
            <w:tcW w:w="1723" w:type="dxa"/>
            <w:tcBorders>
              <w:top w:val="nil"/>
              <w:left w:val="nil"/>
              <w:bottom w:val="single" w:color="auto" w:sz="8" w:space="0"/>
              <w:right w:val="single" w:color="auto" w:sz="8" w:space="0"/>
            </w:tcBorders>
            <w:shd w:val="clear" w:color="000000" w:fill="auto"/>
          </w:tcPr>
          <w:p w14:paraId="6DE82B05">
            <w:pPr>
              <w:widowControl/>
              <w:shd w:val="clear"/>
              <w:jc w:val="center"/>
              <w:rPr>
                <w:rFonts w:ascii="仿宋" w:hAnsi="仿宋" w:eastAsia="仿宋" w:cs="仿宋_GB2312"/>
                <w:sz w:val="22"/>
              </w:rPr>
            </w:pPr>
          </w:p>
        </w:tc>
      </w:tr>
      <w:tr w14:paraId="4ED2478F">
        <w:tblPrEx>
          <w:tblCellMar>
            <w:top w:w="0" w:type="dxa"/>
            <w:left w:w="108" w:type="dxa"/>
            <w:bottom w:w="0" w:type="dxa"/>
            <w:right w:w="108" w:type="dxa"/>
          </w:tblCellMar>
        </w:tblPrEx>
        <w:trPr>
          <w:trHeight w:val="369" w:hRule="atLeast"/>
        </w:trPr>
        <w:tc>
          <w:tcPr>
            <w:tcW w:w="851" w:type="dxa"/>
            <w:vMerge w:val="continue"/>
            <w:tcBorders>
              <w:top w:val="nil"/>
              <w:left w:val="single" w:color="auto" w:sz="8" w:space="0"/>
              <w:bottom w:val="single" w:color="auto" w:sz="4" w:space="0"/>
              <w:right w:val="single" w:color="auto" w:sz="8" w:space="0"/>
            </w:tcBorders>
            <w:vAlign w:val="center"/>
          </w:tcPr>
          <w:p w14:paraId="3E509A1F">
            <w:pPr>
              <w:widowControl/>
              <w:shd w:val="clear"/>
              <w:jc w:val="center"/>
              <w:rPr>
                <w:rFonts w:ascii="仿宋" w:hAnsi="仿宋" w:eastAsia="仿宋" w:cs="宋体"/>
                <w:b/>
                <w:bCs/>
                <w:color w:val="000000"/>
                <w:kern w:val="0"/>
                <w:sz w:val="22"/>
                <w:szCs w:val="24"/>
              </w:rPr>
            </w:pPr>
          </w:p>
        </w:tc>
        <w:tc>
          <w:tcPr>
            <w:tcW w:w="986" w:type="dxa"/>
            <w:vMerge w:val="continue"/>
            <w:tcBorders>
              <w:top w:val="nil"/>
              <w:left w:val="single" w:color="auto" w:sz="8" w:space="0"/>
              <w:bottom w:val="single" w:color="auto" w:sz="4" w:space="0"/>
              <w:right w:val="single" w:color="auto" w:sz="8" w:space="0"/>
            </w:tcBorders>
            <w:vAlign w:val="center"/>
          </w:tcPr>
          <w:p w14:paraId="35357AB1">
            <w:pPr>
              <w:widowControl/>
              <w:shd w:val="clear"/>
              <w:jc w:val="left"/>
              <w:rPr>
                <w:rFonts w:ascii="仿宋" w:hAnsi="仿宋" w:eastAsia="仿宋" w:cs="仿宋_GB2312"/>
                <w:sz w:val="22"/>
              </w:rPr>
            </w:pPr>
          </w:p>
        </w:tc>
        <w:tc>
          <w:tcPr>
            <w:tcW w:w="766" w:type="dxa"/>
            <w:vMerge w:val="continue"/>
            <w:tcBorders>
              <w:top w:val="nil"/>
              <w:left w:val="single" w:color="auto" w:sz="8" w:space="0"/>
              <w:bottom w:val="single" w:color="auto" w:sz="4" w:space="0"/>
              <w:right w:val="single" w:color="auto" w:sz="8" w:space="0"/>
            </w:tcBorders>
            <w:shd w:val="clear" w:color="auto" w:fill="auto"/>
            <w:vAlign w:val="center"/>
          </w:tcPr>
          <w:p w14:paraId="5FB0B390">
            <w:pPr>
              <w:widowControl/>
              <w:shd w:val="clear"/>
              <w:jc w:val="left"/>
              <w:rPr>
                <w:rFonts w:ascii="仿宋" w:hAnsi="仿宋" w:eastAsia="仿宋" w:cs="仿宋_GB2312"/>
                <w:sz w:val="22"/>
              </w:rPr>
            </w:pPr>
          </w:p>
        </w:tc>
        <w:tc>
          <w:tcPr>
            <w:tcW w:w="737" w:type="dxa"/>
            <w:tcBorders>
              <w:top w:val="nil"/>
              <w:left w:val="nil"/>
              <w:bottom w:val="single" w:color="auto" w:sz="4" w:space="0"/>
              <w:right w:val="single" w:color="auto" w:sz="8" w:space="0"/>
            </w:tcBorders>
            <w:shd w:val="clear" w:color="auto" w:fill="auto"/>
            <w:vAlign w:val="center"/>
          </w:tcPr>
          <w:p w14:paraId="18E57E4C">
            <w:pPr>
              <w:widowControl/>
              <w:shd w:val="clear"/>
              <w:jc w:val="center"/>
              <w:rPr>
                <w:rFonts w:ascii="仿宋" w:hAnsi="仿宋" w:eastAsia="仿宋" w:cs="仿宋_GB2312"/>
                <w:sz w:val="22"/>
              </w:rPr>
            </w:pPr>
            <w:r>
              <w:rPr>
                <w:rFonts w:hint="eastAsia" w:ascii="仿宋" w:hAnsi="仿宋" w:eastAsia="仿宋" w:cs="仿宋_GB2312"/>
                <w:sz w:val="22"/>
              </w:rPr>
              <w:t>3</w:t>
            </w:r>
          </w:p>
        </w:tc>
        <w:tc>
          <w:tcPr>
            <w:tcW w:w="4708" w:type="dxa"/>
            <w:tcBorders>
              <w:top w:val="nil"/>
              <w:left w:val="nil"/>
              <w:bottom w:val="single" w:color="auto" w:sz="4" w:space="0"/>
              <w:right w:val="single" w:color="auto" w:sz="8" w:space="0"/>
            </w:tcBorders>
            <w:shd w:val="clear" w:color="auto" w:fill="auto"/>
            <w:vAlign w:val="center"/>
          </w:tcPr>
          <w:p w14:paraId="372ADB10">
            <w:pPr>
              <w:widowControl/>
              <w:shd w:val="clear"/>
              <w:jc w:val="left"/>
              <w:rPr>
                <w:rFonts w:ascii="仿宋" w:hAnsi="仿宋" w:eastAsia="仿宋" w:cs="仿宋_GB2312"/>
                <w:sz w:val="22"/>
              </w:rPr>
            </w:pPr>
            <w:r>
              <w:rPr>
                <w:rFonts w:ascii="仿宋" w:hAnsi="仿宋" w:eastAsia="仿宋" w:cs="仿宋_GB2312"/>
                <w:sz w:val="22"/>
              </w:rPr>
              <w:t>参选单位</w:t>
            </w:r>
            <w:r>
              <w:rPr>
                <w:rFonts w:hint="eastAsia" w:ascii="仿宋" w:hAnsi="仿宋" w:eastAsia="仿宋" w:cs="仿宋_GB2312"/>
                <w:sz w:val="22"/>
              </w:rPr>
              <w:t>自</w:t>
            </w:r>
            <w:r>
              <w:rPr>
                <w:rFonts w:ascii="仿宋" w:hAnsi="仿宋" w:eastAsia="仿宋" w:cs="仿宋_GB2312"/>
                <w:sz w:val="22"/>
              </w:rPr>
              <w:t>2020</w:t>
            </w:r>
            <w:r>
              <w:rPr>
                <w:rFonts w:hint="eastAsia" w:ascii="仿宋" w:hAnsi="仿宋" w:eastAsia="仿宋" w:cs="仿宋_GB2312"/>
                <w:sz w:val="22"/>
              </w:rPr>
              <w:t>年1月1日（含1日）以来每有一年</w:t>
            </w:r>
            <w:r>
              <w:rPr>
                <w:rFonts w:ascii="仿宋" w:hAnsi="仿宋" w:eastAsia="仿宋" w:cs="仿宋_GB2312"/>
                <w:sz w:val="22"/>
              </w:rPr>
              <w:t>通过卫生部全国外周血胎儿染色体非整倍体高通量测序室间质评的得</w:t>
            </w:r>
            <w:r>
              <w:rPr>
                <w:rFonts w:hint="eastAsia" w:ascii="仿宋" w:hAnsi="仿宋" w:eastAsia="仿宋" w:cs="仿宋_GB2312"/>
                <w:sz w:val="22"/>
              </w:rPr>
              <w:t>1</w:t>
            </w:r>
            <w:r>
              <w:rPr>
                <w:rFonts w:ascii="仿宋" w:hAnsi="仿宋" w:eastAsia="仿宋" w:cs="仿宋_GB2312"/>
                <w:sz w:val="22"/>
              </w:rPr>
              <w:t>分，</w:t>
            </w:r>
            <w:r>
              <w:rPr>
                <w:rFonts w:hint="eastAsia" w:ascii="仿宋" w:hAnsi="仿宋" w:eastAsia="仿宋" w:cs="仿宋_GB2312"/>
                <w:sz w:val="22"/>
              </w:rPr>
              <w:t>最多得3分。</w:t>
            </w:r>
            <w:r>
              <w:rPr>
                <w:rFonts w:ascii="仿宋" w:hAnsi="仿宋" w:eastAsia="仿宋" w:cs="仿宋_GB2312"/>
                <w:sz w:val="22"/>
              </w:rPr>
              <w:t>（提供室间质评文件证明</w:t>
            </w:r>
            <w:r>
              <w:rPr>
                <w:rFonts w:hint="eastAsia" w:ascii="仿宋" w:hAnsi="仿宋" w:eastAsia="仿宋" w:cs="仿宋_GB2312"/>
                <w:sz w:val="22"/>
              </w:rPr>
              <w:t>，不提供不得分。</w:t>
            </w:r>
            <w:r>
              <w:rPr>
                <w:rFonts w:ascii="仿宋" w:hAnsi="仿宋" w:eastAsia="仿宋" w:cs="仿宋_GB2312"/>
                <w:sz w:val="22"/>
              </w:rPr>
              <w:t>）</w:t>
            </w:r>
          </w:p>
        </w:tc>
        <w:tc>
          <w:tcPr>
            <w:tcW w:w="654" w:type="dxa"/>
            <w:tcBorders>
              <w:top w:val="nil"/>
              <w:left w:val="nil"/>
              <w:bottom w:val="single" w:color="auto" w:sz="4" w:space="0"/>
              <w:right w:val="single" w:color="auto" w:sz="8" w:space="0"/>
            </w:tcBorders>
            <w:shd w:val="clear" w:color="000000" w:fill="auto"/>
            <w:vAlign w:val="center"/>
          </w:tcPr>
          <w:p w14:paraId="0222CA29">
            <w:pPr>
              <w:widowControl/>
              <w:shd w:val="clear"/>
              <w:jc w:val="center"/>
              <w:rPr>
                <w:rFonts w:ascii="仿宋" w:hAnsi="仿宋" w:eastAsia="仿宋" w:cs="仿宋_GB2312"/>
                <w:sz w:val="22"/>
              </w:rPr>
            </w:pPr>
          </w:p>
        </w:tc>
        <w:tc>
          <w:tcPr>
            <w:tcW w:w="1723" w:type="dxa"/>
            <w:tcBorders>
              <w:top w:val="nil"/>
              <w:left w:val="nil"/>
              <w:bottom w:val="single" w:color="auto" w:sz="4" w:space="0"/>
              <w:right w:val="single" w:color="auto" w:sz="8" w:space="0"/>
            </w:tcBorders>
            <w:shd w:val="clear" w:color="000000" w:fill="auto"/>
          </w:tcPr>
          <w:p w14:paraId="0BB2361A">
            <w:pPr>
              <w:widowControl/>
              <w:shd w:val="clear"/>
              <w:jc w:val="center"/>
              <w:rPr>
                <w:rFonts w:ascii="仿宋" w:hAnsi="仿宋" w:eastAsia="仿宋" w:cs="仿宋_GB2312"/>
                <w:sz w:val="22"/>
              </w:rPr>
            </w:pPr>
          </w:p>
        </w:tc>
      </w:tr>
      <w:tr w14:paraId="0BDA5B52">
        <w:tblPrEx>
          <w:tblCellMar>
            <w:top w:w="0" w:type="dxa"/>
            <w:left w:w="108" w:type="dxa"/>
            <w:bottom w:w="0" w:type="dxa"/>
            <w:right w:w="108" w:type="dxa"/>
          </w:tblCellMar>
        </w:tblPrEx>
        <w:trPr>
          <w:trHeight w:val="539" w:hRule="atLeast"/>
        </w:trPr>
        <w:tc>
          <w:tcPr>
            <w:tcW w:w="851" w:type="dxa"/>
            <w:vMerge w:val="continue"/>
            <w:tcBorders>
              <w:top w:val="single" w:color="auto" w:sz="4" w:space="0"/>
              <w:left w:val="single" w:color="auto" w:sz="8" w:space="0"/>
              <w:bottom w:val="single" w:color="auto" w:sz="4" w:space="0"/>
              <w:right w:val="single" w:color="auto" w:sz="8" w:space="0"/>
            </w:tcBorders>
            <w:vAlign w:val="center"/>
          </w:tcPr>
          <w:p w14:paraId="58BFDCDC">
            <w:pPr>
              <w:widowControl/>
              <w:shd w:val="clear"/>
              <w:jc w:val="center"/>
              <w:rPr>
                <w:rFonts w:ascii="仿宋" w:hAnsi="仿宋" w:eastAsia="仿宋" w:cs="宋体"/>
                <w:b/>
                <w:bCs/>
                <w:color w:val="000000"/>
                <w:kern w:val="0"/>
                <w:sz w:val="22"/>
                <w:szCs w:val="24"/>
              </w:rPr>
            </w:pPr>
          </w:p>
        </w:tc>
        <w:tc>
          <w:tcPr>
            <w:tcW w:w="986" w:type="dxa"/>
            <w:vMerge w:val="continue"/>
            <w:tcBorders>
              <w:top w:val="single" w:color="auto" w:sz="4" w:space="0"/>
              <w:left w:val="single" w:color="auto" w:sz="8" w:space="0"/>
              <w:bottom w:val="single" w:color="auto" w:sz="4" w:space="0"/>
              <w:right w:val="single" w:color="auto" w:sz="8" w:space="0"/>
            </w:tcBorders>
            <w:vAlign w:val="center"/>
          </w:tcPr>
          <w:p w14:paraId="5388CADF">
            <w:pPr>
              <w:widowControl/>
              <w:shd w:val="clear"/>
              <w:jc w:val="left"/>
              <w:rPr>
                <w:rFonts w:ascii="仿宋" w:hAnsi="仿宋" w:eastAsia="仿宋" w:cs="仿宋_GB2312"/>
                <w:sz w:val="22"/>
              </w:rPr>
            </w:pPr>
          </w:p>
        </w:tc>
        <w:tc>
          <w:tcPr>
            <w:tcW w:w="766" w:type="dxa"/>
            <w:vMerge w:val="restart"/>
            <w:tcBorders>
              <w:top w:val="single" w:color="auto" w:sz="4" w:space="0"/>
              <w:left w:val="nil"/>
              <w:right w:val="single" w:color="auto" w:sz="8" w:space="0"/>
            </w:tcBorders>
            <w:shd w:val="clear" w:color="000000" w:fill="auto"/>
            <w:vAlign w:val="center"/>
          </w:tcPr>
          <w:p w14:paraId="2A2C0732">
            <w:pPr>
              <w:widowControl/>
              <w:shd w:val="clear"/>
              <w:rPr>
                <w:rFonts w:ascii="仿宋" w:hAnsi="仿宋" w:eastAsia="仿宋" w:cs="仿宋_GB2312"/>
                <w:sz w:val="22"/>
              </w:rPr>
            </w:pPr>
            <w:r>
              <w:rPr>
                <w:rFonts w:ascii="仿宋" w:hAnsi="仿宋" w:eastAsia="仿宋" w:cs="仿宋_GB2312"/>
                <w:sz w:val="22"/>
              </w:rPr>
              <w:t>技术</w:t>
            </w:r>
          </w:p>
          <w:p w14:paraId="41DBBCE1">
            <w:pPr>
              <w:widowControl/>
              <w:shd w:val="clear"/>
              <w:rPr>
                <w:rFonts w:ascii="仿宋" w:hAnsi="仿宋" w:eastAsia="仿宋" w:cs="仿宋_GB2312"/>
                <w:sz w:val="22"/>
              </w:rPr>
            </w:pPr>
            <w:r>
              <w:rPr>
                <w:rFonts w:ascii="仿宋" w:hAnsi="仿宋" w:eastAsia="仿宋" w:cs="仿宋_GB2312"/>
                <w:sz w:val="22"/>
              </w:rPr>
              <w:t>实力</w:t>
            </w:r>
          </w:p>
          <w:p w14:paraId="4AE54F19">
            <w:pPr>
              <w:pStyle w:val="2"/>
            </w:pPr>
          </w:p>
        </w:tc>
        <w:tc>
          <w:tcPr>
            <w:tcW w:w="737" w:type="dxa"/>
            <w:tcBorders>
              <w:top w:val="single" w:color="auto" w:sz="4" w:space="0"/>
              <w:left w:val="nil"/>
              <w:bottom w:val="single" w:color="auto" w:sz="4" w:space="0"/>
              <w:right w:val="single" w:color="auto" w:sz="8" w:space="0"/>
            </w:tcBorders>
            <w:shd w:val="clear" w:color="000000" w:fill="auto"/>
            <w:vAlign w:val="center"/>
          </w:tcPr>
          <w:p w14:paraId="25E9E4D9">
            <w:pPr>
              <w:widowControl/>
              <w:shd w:val="clear"/>
              <w:jc w:val="center"/>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12</w:t>
            </w:r>
          </w:p>
        </w:tc>
        <w:tc>
          <w:tcPr>
            <w:tcW w:w="4708" w:type="dxa"/>
            <w:tcBorders>
              <w:top w:val="single" w:color="auto" w:sz="4" w:space="0"/>
              <w:left w:val="nil"/>
              <w:bottom w:val="single" w:color="auto" w:sz="8" w:space="0"/>
              <w:right w:val="single" w:color="auto" w:sz="8" w:space="0"/>
            </w:tcBorders>
            <w:shd w:val="clear" w:color="000000" w:fill="auto"/>
            <w:vAlign w:val="center"/>
          </w:tcPr>
          <w:p w14:paraId="18FD1BE5">
            <w:pPr>
              <w:widowControl/>
              <w:shd w:val="clear"/>
              <w:jc w:val="left"/>
              <w:rPr>
                <w:rFonts w:hint="eastAsia" w:ascii="仿宋" w:hAnsi="仿宋" w:eastAsia="仿宋" w:cs="仿宋_GB2312"/>
                <w:color w:val="000000" w:themeColor="text1"/>
                <w:sz w:val="22"/>
                <w:lang w:eastAsia="zh-CN"/>
                <w14:textFill>
                  <w14:solidFill>
                    <w14:schemeClr w14:val="tx1"/>
                  </w14:solidFill>
                </w14:textFill>
              </w:rPr>
            </w:pPr>
            <w:r>
              <w:rPr>
                <w:rFonts w:ascii="仿宋" w:hAnsi="仿宋" w:eastAsia="仿宋" w:cs="仿宋_GB2312"/>
                <w:color w:val="000000" w:themeColor="text1"/>
                <w:sz w:val="22"/>
                <w14:textFill>
                  <w14:solidFill>
                    <w14:schemeClr w14:val="tx1"/>
                  </w14:solidFill>
                </w14:textFill>
              </w:rPr>
              <w:t>参选单位</w:t>
            </w:r>
            <w:r>
              <w:rPr>
                <w:rFonts w:hint="eastAsia" w:ascii="仿宋" w:hAnsi="仿宋" w:eastAsia="仿宋" w:cs="仿宋_GB2312"/>
                <w:color w:val="000000" w:themeColor="text1"/>
                <w:sz w:val="22"/>
                <w14:textFill>
                  <w14:solidFill>
                    <w14:schemeClr w14:val="tx1"/>
                  </w14:solidFill>
                </w14:textFill>
              </w:rPr>
              <w:t>具备完善的细胞分子遗传学检测技术平台，</w:t>
            </w:r>
            <w:r>
              <w:rPr>
                <w:rFonts w:ascii="仿宋" w:hAnsi="仿宋" w:eastAsia="仿宋" w:cs="仿宋_GB2312"/>
                <w:color w:val="000000" w:themeColor="text1"/>
                <w:sz w:val="22"/>
                <w14:textFill>
                  <w14:solidFill>
                    <w14:schemeClr w14:val="tx1"/>
                  </w14:solidFill>
                </w14:textFill>
              </w:rPr>
              <w:t>具备</w:t>
            </w:r>
            <w:r>
              <w:rPr>
                <w:rFonts w:hint="eastAsia" w:ascii="仿宋" w:hAnsi="仿宋" w:eastAsia="仿宋" w:cs="仿宋_GB2312"/>
                <w:color w:val="000000" w:themeColor="text1"/>
                <w:sz w:val="22"/>
                <w14:textFill>
                  <w14:solidFill>
                    <w14:schemeClr w14:val="tx1"/>
                  </w14:solidFill>
                </w14:textFill>
              </w:rPr>
              <w:t>检测阳性后</w:t>
            </w:r>
            <w:r>
              <w:rPr>
                <w:rFonts w:ascii="仿宋" w:hAnsi="仿宋" w:eastAsia="仿宋" w:cs="仿宋_GB2312"/>
                <w:color w:val="000000" w:themeColor="text1"/>
                <w:sz w:val="22"/>
                <w14:textFill>
                  <w14:solidFill>
                    <w14:schemeClr w14:val="tx1"/>
                  </w14:solidFill>
                </w14:textFill>
              </w:rPr>
              <w:t>复杂遗传病的诊断能力，开展过实际临床检测项目。并具备完善的遗传病验证体系，如染色体芯片、高分辨核型、定量PCR验证、FISH、</w:t>
            </w:r>
            <w:r>
              <w:rPr>
                <w:rFonts w:hint="eastAsia" w:ascii="仿宋" w:hAnsi="仿宋" w:eastAsia="仿宋" w:cs="仿宋_GB2312"/>
                <w:color w:val="000000" w:themeColor="text1"/>
                <w:sz w:val="22"/>
                <w14:textFill>
                  <w14:solidFill>
                    <w14:schemeClr w14:val="tx1"/>
                  </w14:solidFill>
                </w14:textFill>
              </w:rPr>
              <w:t>NGS、MLPA、Sanger测序、HRM、OGM、GCMS</w:t>
            </w:r>
            <w:r>
              <w:rPr>
                <w:rFonts w:ascii="仿宋" w:hAnsi="仿宋" w:eastAsia="仿宋" w:cs="仿宋_GB2312"/>
                <w:color w:val="000000" w:themeColor="text1"/>
                <w:sz w:val="22"/>
                <w14:textFill>
                  <w14:solidFill>
                    <w14:schemeClr w14:val="tx1"/>
                  </w14:solidFill>
                </w14:textFill>
              </w:rPr>
              <w:t>、</w:t>
            </w:r>
            <w:r>
              <w:rPr>
                <w:rFonts w:hint="eastAsia" w:ascii="仿宋" w:hAnsi="仿宋" w:eastAsia="仿宋" w:cs="仿宋_GB2312"/>
                <w:color w:val="000000" w:themeColor="text1"/>
                <w:sz w:val="22"/>
                <w14:textFill>
                  <w14:solidFill>
                    <w14:schemeClr w14:val="tx1"/>
                  </w14:solidFill>
                </w14:textFill>
              </w:rPr>
              <w:t>甲基化</w:t>
            </w:r>
            <w:r>
              <w:rPr>
                <w:rFonts w:ascii="仿宋" w:hAnsi="仿宋" w:eastAsia="仿宋" w:cs="仿宋_GB2312"/>
                <w:color w:val="000000" w:themeColor="text1"/>
                <w:sz w:val="22"/>
                <w14:textFill>
                  <w14:solidFill>
                    <w14:schemeClr w14:val="tx1"/>
                  </w14:solidFill>
                </w14:textFill>
              </w:rPr>
              <w:t>MLPA、</w:t>
            </w:r>
            <w:r>
              <w:rPr>
                <w:rFonts w:hint="eastAsia" w:ascii="仿宋" w:hAnsi="仿宋" w:eastAsia="仿宋" w:cs="仿宋_GB2312"/>
                <w:color w:val="000000" w:themeColor="text1"/>
                <w:sz w:val="22"/>
                <w14:textFill>
                  <w14:solidFill>
                    <w14:schemeClr w14:val="tx1"/>
                  </w14:solidFill>
                </w14:textFill>
              </w:rPr>
              <w:t>数字</w:t>
            </w:r>
            <w:r>
              <w:rPr>
                <w:rFonts w:ascii="仿宋" w:hAnsi="仿宋" w:eastAsia="仿宋" w:cs="仿宋_GB2312"/>
                <w:color w:val="000000" w:themeColor="text1"/>
                <w:sz w:val="22"/>
                <w14:textFill>
                  <w14:solidFill>
                    <w14:schemeClr w14:val="tx1"/>
                  </w14:solidFill>
                </w14:textFill>
              </w:rPr>
              <w:t>PCR</w:t>
            </w:r>
            <w:r>
              <w:rPr>
                <w:rFonts w:hint="eastAsia" w:ascii="仿宋" w:hAnsi="仿宋" w:eastAsia="仿宋" w:cs="仿宋_GB2312"/>
                <w:color w:val="000000" w:themeColor="text1"/>
                <w:sz w:val="22"/>
                <w14:textFill>
                  <w14:solidFill>
                    <w14:schemeClr w14:val="tx1"/>
                  </w14:solidFill>
                </w14:textFill>
              </w:rPr>
              <w:t>；全部满足的得12分，</w:t>
            </w:r>
            <w:r>
              <w:rPr>
                <w:rFonts w:ascii="仿宋" w:hAnsi="仿宋" w:eastAsia="仿宋" w:cs="仿宋_GB2312"/>
                <w:color w:val="000000" w:themeColor="text1"/>
                <w:sz w:val="22"/>
                <w14:textFill>
                  <w14:solidFill>
                    <w14:schemeClr w14:val="tx1"/>
                  </w14:solidFill>
                </w14:textFill>
              </w:rPr>
              <w:t>每</w:t>
            </w:r>
            <w:r>
              <w:rPr>
                <w:rFonts w:hint="eastAsia" w:ascii="仿宋" w:hAnsi="仿宋" w:eastAsia="仿宋" w:cs="仿宋_GB2312"/>
                <w:color w:val="000000" w:themeColor="text1"/>
                <w:sz w:val="22"/>
                <w14:textFill>
                  <w14:solidFill>
                    <w14:schemeClr w14:val="tx1"/>
                  </w14:solidFill>
                </w14:textFill>
              </w:rPr>
              <w:t>满足</w:t>
            </w:r>
            <w:r>
              <w:rPr>
                <w:rFonts w:ascii="仿宋" w:hAnsi="仿宋" w:eastAsia="仿宋" w:cs="仿宋_GB2312"/>
                <w:color w:val="000000" w:themeColor="text1"/>
                <w:sz w:val="22"/>
                <w14:textFill>
                  <w14:solidFill>
                    <w14:schemeClr w14:val="tx1"/>
                  </w14:solidFill>
                </w14:textFill>
              </w:rPr>
              <w:t>其中一项的</w:t>
            </w:r>
            <w:r>
              <w:rPr>
                <w:rFonts w:hint="eastAsia" w:ascii="仿宋" w:hAnsi="仿宋" w:eastAsia="仿宋" w:cs="仿宋_GB2312"/>
                <w:color w:val="000000" w:themeColor="text1"/>
                <w:sz w:val="22"/>
                <w14:textFill>
                  <w14:solidFill>
                    <w14:schemeClr w14:val="tx1"/>
                  </w14:solidFill>
                </w14:textFill>
              </w:rPr>
              <w:t>得1分，不满足不得</w:t>
            </w:r>
            <w:r>
              <w:rPr>
                <w:rFonts w:ascii="仿宋" w:hAnsi="仿宋" w:eastAsia="仿宋" w:cs="仿宋_GB2312"/>
                <w:color w:val="000000" w:themeColor="text1"/>
                <w:sz w:val="22"/>
                <w14:textFill>
                  <w14:solidFill>
                    <w14:schemeClr w14:val="tx1"/>
                  </w14:solidFill>
                </w14:textFill>
              </w:rPr>
              <w:t>分。参选单位提供上述各技术平台应用的检测报告，并提供染色体芯片、NGS、S</w:t>
            </w:r>
            <w:r>
              <w:rPr>
                <w:rFonts w:hint="eastAsia" w:ascii="仿宋" w:hAnsi="仿宋" w:eastAsia="仿宋" w:cs="仿宋_GB2312"/>
                <w:color w:val="000000" w:themeColor="text1"/>
                <w:sz w:val="22"/>
                <w14:textFill>
                  <w14:solidFill>
                    <w14:schemeClr w14:val="tx1"/>
                  </w14:solidFill>
                </w14:textFill>
              </w:rPr>
              <w:t>a</w:t>
            </w:r>
            <w:r>
              <w:rPr>
                <w:rFonts w:ascii="仿宋" w:hAnsi="仿宋" w:eastAsia="仿宋" w:cs="仿宋_GB2312"/>
                <w:color w:val="000000" w:themeColor="text1"/>
                <w:sz w:val="22"/>
                <w14:textFill>
                  <w14:solidFill>
                    <w14:schemeClr w14:val="tx1"/>
                  </w14:solidFill>
                </w14:textFill>
              </w:rPr>
              <w:t>nger测序、</w:t>
            </w:r>
            <w:r>
              <w:rPr>
                <w:rFonts w:hint="eastAsia" w:ascii="仿宋" w:hAnsi="仿宋" w:eastAsia="仿宋" w:cs="仿宋_GB2312"/>
                <w:color w:val="000000" w:themeColor="text1"/>
                <w:sz w:val="22"/>
                <w14:textFill>
                  <w14:solidFill>
                    <w14:schemeClr w14:val="tx1"/>
                  </w14:solidFill>
                </w14:textFill>
              </w:rPr>
              <w:t>OGM</w:t>
            </w:r>
            <w:r>
              <w:rPr>
                <w:rFonts w:ascii="仿宋" w:hAnsi="仿宋" w:eastAsia="仿宋" w:cs="仿宋_GB2312"/>
                <w:color w:val="000000" w:themeColor="text1"/>
                <w:sz w:val="22"/>
                <w14:textFill>
                  <w14:solidFill>
                    <w14:schemeClr w14:val="tx1"/>
                  </w14:solidFill>
                </w14:textFill>
              </w:rPr>
              <w:t>、</w:t>
            </w:r>
            <w:r>
              <w:rPr>
                <w:rFonts w:hint="eastAsia" w:ascii="仿宋" w:hAnsi="仿宋" w:eastAsia="仿宋" w:cs="仿宋_GB2312"/>
                <w:color w:val="000000" w:themeColor="text1"/>
                <w:sz w:val="22"/>
                <w14:textFill>
                  <w14:solidFill>
                    <w14:schemeClr w14:val="tx1"/>
                  </w14:solidFill>
                </w14:textFill>
              </w:rPr>
              <w:t>GCMS</w:t>
            </w:r>
            <w:r>
              <w:rPr>
                <w:rFonts w:ascii="仿宋" w:hAnsi="仿宋" w:eastAsia="仿宋" w:cs="仿宋_GB2312"/>
                <w:color w:val="000000" w:themeColor="text1"/>
                <w:sz w:val="22"/>
                <w14:textFill>
                  <w14:solidFill>
                    <w14:schemeClr w14:val="tx1"/>
                  </w14:solidFill>
                </w14:textFill>
              </w:rPr>
              <w:t>、</w:t>
            </w:r>
            <w:r>
              <w:rPr>
                <w:rFonts w:hint="eastAsia" w:ascii="仿宋" w:hAnsi="仿宋" w:eastAsia="仿宋" w:cs="仿宋_GB2312"/>
                <w:color w:val="000000" w:themeColor="text1"/>
                <w:sz w:val="22"/>
                <w14:textFill>
                  <w14:solidFill>
                    <w14:schemeClr w14:val="tx1"/>
                  </w14:solidFill>
                </w14:textFill>
              </w:rPr>
              <w:t>数字</w:t>
            </w:r>
            <w:r>
              <w:rPr>
                <w:rFonts w:ascii="仿宋" w:hAnsi="仿宋" w:eastAsia="仿宋" w:cs="仿宋_GB2312"/>
                <w:color w:val="000000" w:themeColor="text1"/>
                <w:sz w:val="22"/>
                <w14:textFill>
                  <w14:solidFill>
                    <w14:schemeClr w14:val="tx1"/>
                  </w14:solidFill>
                </w14:textFill>
              </w:rPr>
              <w:t>PCR的设备发票或设备采购合同，</w:t>
            </w:r>
            <w:r>
              <w:rPr>
                <w:rFonts w:hint="eastAsia" w:ascii="仿宋" w:hAnsi="仿宋" w:eastAsia="仿宋" w:cs="仿宋_GB2312"/>
                <w:color w:val="000000" w:themeColor="text1"/>
                <w:sz w:val="22"/>
                <w14:textFill>
                  <w14:solidFill>
                    <w14:schemeClr w14:val="tx1"/>
                  </w14:solidFill>
                </w14:textFill>
              </w:rPr>
              <w:t>未</w:t>
            </w:r>
            <w:r>
              <w:rPr>
                <w:rFonts w:ascii="仿宋" w:hAnsi="仿宋" w:eastAsia="仿宋" w:cs="仿宋_GB2312"/>
                <w:color w:val="000000" w:themeColor="text1"/>
                <w:sz w:val="22"/>
                <w14:textFill>
                  <w14:solidFill>
                    <w14:schemeClr w14:val="tx1"/>
                  </w14:solidFill>
                </w14:textFill>
              </w:rPr>
              <w:t>按要求</w:t>
            </w:r>
            <w:r>
              <w:rPr>
                <w:rFonts w:hint="eastAsia" w:ascii="仿宋" w:hAnsi="仿宋" w:eastAsia="仿宋" w:cs="仿宋_GB2312"/>
                <w:color w:val="000000" w:themeColor="text1"/>
                <w:sz w:val="22"/>
                <w14:textFill>
                  <w14:solidFill>
                    <w14:schemeClr w14:val="tx1"/>
                  </w14:solidFill>
                </w14:textFill>
              </w:rPr>
              <w:t>提供</w:t>
            </w:r>
            <w:r>
              <w:rPr>
                <w:rFonts w:ascii="仿宋" w:hAnsi="仿宋" w:eastAsia="仿宋" w:cs="仿宋_GB2312"/>
                <w:color w:val="000000" w:themeColor="text1"/>
                <w:sz w:val="22"/>
                <w14:textFill>
                  <w14:solidFill>
                    <w14:schemeClr w14:val="tx1"/>
                  </w14:solidFill>
                </w14:textFill>
              </w:rPr>
              <w:t>的不得分</w:t>
            </w:r>
            <w:r>
              <w:rPr>
                <w:rFonts w:hint="eastAsia" w:ascii="仿宋" w:hAnsi="仿宋" w:eastAsia="仿宋" w:cs="仿宋_GB2312"/>
                <w:color w:val="000000" w:themeColor="text1"/>
                <w:sz w:val="22"/>
                <w:lang w:eastAsia="zh-CN"/>
                <w14:textFill>
                  <w14:solidFill>
                    <w14:schemeClr w14:val="tx1"/>
                  </w14:solidFill>
                </w14:textFill>
              </w:rPr>
              <w:t>。</w:t>
            </w:r>
          </w:p>
        </w:tc>
        <w:tc>
          <w:tcPr>
            <w:tcW w:w="654" w:type="dxa"/>
            <w:tcBorders>
              <w:top w:val="single" w:color="auto" w:sz="4" w:space="0"/>
              <w:left w:val="nil"/>
              <w:bottom w:val="single" w:color="auto" w:sz="8" w:space="0"/>
              <w:right w:val="single" w:color="auto" w:sz="8" w:space="0"/>
            </w:tcBorders>
            <w:shd w:val="clear" w:color="000000" w:fill="auto"/>
            <w:vAlign w:val="center"/>
          </w:tcPr>
          <w:p w14:paraId="4123E979">
            <w:pPr>
              <w:widowControl/>
              <w:shd w:val="clear"/>
              <w:jc w:val="center"/>
              <w:rPr>
                <w:rFonts w:ascii="仿宋" w:hAnsi="仿宋" w:eastAsia="仿宋" w:cs="仿宋_GB2312"/>
                <w:sz w:val="22"/>
              </w:rPr>
            </w:pPr>
          </w:p>
        </w:tc>
        <w:tc>
          <w:tcPr>
            <w:tcW w:w="1723" w:type="dxa"/>
            <w:tcBorders>
              <w:top w:val="single" w:color="auto" w:sz="4" w:space="0"/>
              <w:left w:val="nil"/>
              <w:bottom w:val="single" w:color="auto" w:sz="8" w:space="0"/>
              <w:right w:val="single" w:color="auto" w:sz="8" w:space="0"/>
            </w:tcBorders>
            <w:shd w:val="clear" w:color="000000" w:fill="auto"/>
          </w:tcPr>
          <w:p w14:paraId="19C09329">
            <w:pPr>
              <w:widowControl/>
              <w:shd w:val="clear"/>
              <w:jc w:val="center"/>
              <w:rPr>
                <w:rFonts w:ascii="仿宋" w:hAnsi="仿宋" w:eastAsia="仿宋" w:cs="仿宋_GB2312"/>
                <w:sz w:val="22"/>
              </w:rPr>
            </w:pPr>
          </w:p>
        </w:tc>
      </w:tr>
      <w:tr w14:paraId="42FF3D3D">
        <w:tblPrEx>
          <w:tblCellMar>
            <w:top w:w="0" w:type="dxa"/>
            <w:left w:w="108" w:type="dxa"/>
            <w:bottom w:w="0" w:type="dxa"/>
            <w:right w:w="108" w:type="dxa"/>
          </w:tblCellMar>
        </w:tblPrEx>
        <w:trPr>
          <w:trHeight w:val="539" w:hRule="atLeast"/>
        </w:trPr>
        <w:tc>
          <w:tcPr>
            <w:tcW w:w="851" w:type="dxa"/>
            <w:vMerge w:val="continue"/>
            <w:tcBorders>
              <w:top w:val="single" w:color="auto" w:sz="4" w:space="0"/>
              <w:left w:val="single" w:color="auto" w:sz="8" w:space="0"/>
              <w:bottom w:val="nil"/>
              <w:right w:val="single" w:color="auto" w:sz="8" w:space="0"/>
            </w:tcBorders>
            <w:vAlign w:val="center"/>
          </w:tcPr>
          <w:p w14:paraId="52EE20F2">
            <w:pPr>
              <w:widowControl/>
              <w:shd w:val="clear"/>
              <w:jc w:val="center"/>
              <w:rPr>
                <w:rFonts w:ascii="仿宋" w:hAnsi="仿宋" w:eastAsia="仿宋" w:cs="宋体"/>
                <w:b/>
                <w:bCs/>
                <w:color w:val="000000"/>
                <w:kern w:val="0"/>
                <w:sz w:val="22"/>
                <w:szCs w:val="24"/>
              </w:rPr>
            </w:pPr>
          </w:p>
        </w:tc>
        <w:tc>
          <w:tcPr>
            <w:tcW w:w="986" w:type="dxa"/>
            <w:vMerge w:val="continue"/>
            <w:tcBorders>
              <w:top w:val="single" w:color="auto" w:sz="4" w:space="0"/>
              <w:left w:val="single" w:color="auto" w:sz="8" w:space="0"/>
              <w:bottom w:val="nil"/>
              <w:right w:val="single" w:color="auto" w:sz="8" w:space="0"/>
            </w:tcBorders>
            <w:vAlign w:val="center"/>
          </w:tcPr>
          <w:p w14:paraId="1472BAAF">
            <w:pPr>
              <w:widowControl/>
              <w:shd w:val="clear"/>
              <w:jc w:val="left"/>
              <w:rPr>
                <w:rFonts w:ascii="仿宋" w:hAnsi="仿宋" w:eastAsia="仿宋" w:cs="仿宋_GB2312"/>
                <w:sz w:val="22"/>
              </w:rPr>
            </w:pPr>
          </w:p>
        </w:tc>
        <w:tc>
          <w:tcPr>
            <w:tcW w:w="766" w:type="dxa"/>
            <w:vMerge w:val="continue"/>
            <w:tcBorders>
              <w:left w:val="nil"/>
              <w:bottom w:val="nil"/>
              <w:right w:val="single" w:color="auto" w:sz="8" w:space="0"/>
            </w:tcBorders>
            <w:shd w:val="clear" w:color="000000" w:fill="auto"/>
            <w:vAlign w:val="center"/>
          </w:tcPr>
          <w:p w14:paraId="10708C17">
            <w:pPr>
              <w:widowControl/>
              <w:shd w:val="clear"/>
              <w:rPr>
                <w:rFonts w:ascii="仿宋" w:hAnsi="仿宋" w:eastAsia="仿宋" w:cs="仿宋_GB2312"/>
                <w:sz w:val="22"/>
              </w:rPr>
            </w:pPr>
          </w:p>
        </w:tc>
        <w:tc>
          <w:tcPr>
            <w:tcW w:w="737" w:type="dxa"/>
            <w:tcBorders>
              <w:top w:val="single" w:color="auto" w:sz="4" w:space="0"/>
              <w:left w:val="nil"/>
              <w:bottom w:val="single" w:color="auto" w:sz="8" w:space="0"/>
              <w:right w:val="single" w:color="auto" w:sz="8" w:space="0"/>
            </w:tcBorders>
            <w:shd w:val="clear" w:color="000000" w:fill="auto"/>
            <w:vAlign w:val="center"/>
          </w:tcPr>
          <w:p w14:paraId="48BB10E4">
            <w:pPr>
              <w:widowControl/>
              <w:shd w:val="clear"/>
              <w:jc w:val="center"/>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6</w:t>
            </w:r>
          </w:p>
        </w:tc>
        <w:tc>
          <w:tcPr>
            <w:tcW w:w="4708" w:type="dxa"/>
            <w:tcBorders>
              <w:top w:val="nil"/>
              <w:left w:val="nil"/>
              <w:bottom w:val="single" w:color="auto" w:sz="8" w:space="0"/>
              <w:right w:val="single" w:color="auto" w:sz="8" w:space="0"/>
            </w:tcBorders>
            <w:shd w:val="clear" w:color="000000" w:fill="auto"/>
            <w:vAlign w:val="center"/>
          </w:tcPr>
          <w:p w14:paraId="4B83E00E">
            <w:pPr>
              <w:widowControl/>
              <w:shd w:val="clear"/>
              <w:jc w:val="left"/>
              <w:rPr>
                <w:rFonts w:ascii="仿宋" w:hAnsi="仿宋" w:eastAsia="仿宋" w:cs="仿宋_GB2312"/>
                <w:color w:val="000000" w:themeColor="text1"/>
                <w:sz w:val="22"/>
                <w14:textFill>
                  <w14:solidFill>
                    <w14:schemeClr w14:val="tx1"/>
                  </w14:solidFill>
                </w14:textFill>
              </w:rPr>
            </w:pPr>
            <w:r>
              <w:rPr>
                <w:rFonts w:ascii="仿宋" w:hAnsi="仿宋" w:eastAsia="仿宋" w:cs="仿宋_GB2312"/>
                <w:color w:val="000000" w:themeColor="text1"/>
                <w:sz w:val="22"/>
                <w14:textFill>
                  <w14:solidFill>
                    <w14:schemeClr w14:val="tx1"/>
                  </w14:solidFill>
                </w14:textFill>
              </w:rPr>
              <w:t>参选单位</w:t>
            </w:r>
            <w:r>
              <w:rPr>
                <w:rFonts w:hint="eastAsia" w:ascii="仿宋" w:hAnsi="仿宋" w:eastAsia="仿宋" w:cs="仿宋_GB2312"/>
                <w:color w:val="000000" w:themeColor="text1"/>
                <w:sz w:val="22"/>
                <w14:textFill>
                  <w14:solidFill>
                    <w14:schemeClr w14:val="tx1"/>
                  </w14:solidFill>
                </w14:textFill>
              </w:rPr>
              <w:t>需对检测结果中可能出现的阳性拷贝数变异进行深度分析和判读，要求具备数据质控、生物信息分析、报告判读能力的生信软件；</w:t>
            </w:r>
          </w:p>
          <w:p w14:paraId="1D376223">
            <w:pPr>
              <w:widowControl/>
              <w:numPr>
                <w:ilvl w:val="0"/>
                <w:numId w:val="2"/>
              </w:numPr>
              <w:shd w:val="clear"/>
              <w:jc w:val="left"/>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该软件需满足包含样本管理、芯片管理、数据分析、注释解读、报告制作、数据库查询等功能；</w:t>
            </w:r>
          </w:p>
          <w:p w14:paraId="70BCA584">
            <w:pPr>
              <w:widowControl/>
              <w:numPr>
                <w:ilvl w:val="0"/>
                <w:numId w:val="2"/>
              </w:numPr>
              <w:shd w:val="clear"/>
              <w:jc w:val="left"/>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该软件需能够同时兼容染色体芯片(</w:t>
            </w:r>
            <w:r>
              <w:rPr>
                <w:rFonts w:ascii="仿宋" w:hAnsi="仿宋" w:eastAsia="仿宋" w:cs="仿宋_GB2312"/>
                <w:color w:val="000000" w:themeColor="text1"/>
                <w:sz w:val="22"/>
                <w14:textFill>
                  <w14:solidFill>
                    <w14:schemeClr w14:val="tx1"/>
                  </w14:solidFill>
                </w14:textFill>
              </w:rPr>
              <w:t>CMA)</w:t>
            </w:r>
            <w:r>
              <w:rPr>
                <w:rFonts w:hint="eastAsia" w:ascii="仿宋" w:hAnsi="仿宋" w:eastAsia="仿宋" w:cs="仿宋_GB2312"/>
                <w:color w:val="000000" w:themeColor="text1"/>
                <w:sz w:val="22"/>
                <w14:textFill>
                  <w14:solidFill>
                    <w14:schemeClr w14:val="tx1"/>
                  </w14:solidFill>
                </w14:textFill>
              </w:rPr>
              <w:t>及测序结果。</w:t>
            </w:r>
          </w:p>
          <w:p w14:paraId="102699C4">
            <w:pPr>
              <w:widowControl/>
              <w:numPr>
                <w:ilvl w:val="0"/>
                <w:numId w:val="2"/>
              </w:numPr>
              <w:shd w:val="clear"/>
              <w:jc w:val="left"/>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该软件</w:t>
            </w:r>
            <w:r>
              <w:rPr>
                <w:rFonts w:ascii="仿宋" w:hAnsi="仿宋" w:eastAsia="仿宋" w:cs="仿宋_GB2312"/>
                <w:color w:val="000000" w:themeColor="text1"/>
                <w:sz w:val="22"/>
                <w14:textFill>
                  <w14:solidFill>
                    <w14:schemeClr w14:val="tx1"/>
                  </w14:solidFill>
                </w14:textFill>
              </w:rPr>
              <w:t>可</w:t>
            </w:r>
            <w:r>
              <w:rPr>
                <w:rFonts w:hint="eastAsia" w:ascii="仿宋" w:hAnsi="仿宋" w:eastAsia="仿宋" w:cs="仿宋_GB2312"/>
                <w:color w:val="000000" w:themeColor="text1"/>
                <w:sz w:val="22"/>
                <w14:textFill>
                  <w14:solidFill>
                    <w14:schemeClr w14:val="tx1"/>
                  </w14:solidFill>
                </w14:textFill>
              </w:rPr>
              <w:t>链接跳转查询公共数据库（DGV、OMIM、Decipher、Clinvar、ClinGen、PubMed等）和</w:t>
            </w:r>
            <w:r>
              <w:rPr>
                <w:rFonts w:ascii="仿宋" w:hAnsi="仿宋" w:eastAsia="仿宋" w:cs="仿宋_GB2312"/>
                <w:color w:val="000000" w:themeColor="text1"/>
                <w:sz w:val="22"/>
                <w14:textFill>
                  <w14:solidFill>
                    <w14:schemeClr w14:val="tx1"/>
                  </w14:solidFill>
                </w14:textFill>
              </w:rPr>
              <w:t>可查询参选单位或其母子公司实验室</w:t>
            </w:r>
            <w:r>
              <w:rPr>
                <w:rFonts w:hint="eastAsia" w:ascii="仿宋" w:hAnsi="仿宋" w:eastAsia="仿宋" w:cs="仿宋_GB2312"/>
                <w:color w:val="000000" w:themeColor="text1"/>
                <w:sz w:val="22"/>
                <w14:textFill>
                  <w14:solidFill>
                    <w14:schemeClr w14:val="tx1"/>
                  </w14:solidFill>
                </w14:textFill>
              </w:rPr>
              <w:t>数据库。</w:t>
            </w:r>
          </w:p>
          <w:p w14:paraId="0A872519">
            <w:pPr>
              <w:widowControl/>
              <w:shd w:val="clear"/>
              <w:jc w:val="left"/>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上述要求满足一条得2分，全部</w:t>
            </w:r>
            <w:r>
              <w:rPr>
                <w:rFonts w:ascii="仿宋" w:hAnsi="仿宋" w:eastAsia="仿宋" w:cs="仿宋_GB2312"/>
                <w:color w:val="000000" w:themeColor="text1"/>
                <w:sz w:val="22"/>
                <w14:textFill>
                  <w14:solidFill>
                    <w14:schemeClr w14:val="tx1"/>
                  </w14:solidFill>
                </w14:textFill>
              </w:rPr>
              <w:t>满足的得</w:t>
            </w:r>
            <w:r>
              <w:rPr>
                <w:rFonts w:hint="eastAsia" w:ascii="仿宋" w:hAnsi="仿宋" w:eastAsia="仿宋" w:cs="仿宋_GB2312"/>
                <w:color w:val="000000" w:themeColor="text1"/>
                <w:sz w:val="22"/>
                <w14:textFill>
                  <w14:solidFill>
                    <w14:schemeClr w14:val="tx1"/>
                  </w14:solidFill>
                </w14:textFill>
              </w:rPr>
              <w:t>6分（提供加盖</w:t>
            </w:r>
            <w:r>
              <w:rPr>
                <w:rFonts w:ascii="仿宋" w:hAnsi="仿宋" w:eastAsia="仿宋" w:cs="仿宋_GB2312"/>
                <w:color w:val="000000" w:themeColor="text1"/>
                <w:sz w:val="22"/>
                <w14:textFill>
                  <w14:solidFill>
                    <w14:schemeClr w14:val="tx1"/>
                  </w14:solidFill>
                </w14:textFill>
              </w:rPr>
              <w:t>参选单位</w:t>
            </w:r>
            <w:r>
              <w:rPr>
                <w:rFonts w:hint="eastAsia" w:ascii="仿宋" w:hAnsi="仿宋" w:eastAsia="仿宋" w:cs="仿宋_GB2312"/>
                <w:color w:val="000000" w:themeColor="text1"/>
                <w:sz w:val="22"/>
                <w14:textFill>
                  <w14:solidFill>
                    <w14:schemeClr w14:val="tx1"/>
                  </w14:solidFill>
                </w14:textFill>
              </w:rPr>
              <w:t>公章的分软件说明书、彩页、软件和数据库截图等）。</w:t>
            </w:r>
          </w:p>
        </w:tc>
        <w:tc>
          <w:tcPr>
            <w:tcW w:w="654" w:type="dxa"/>
            <w:tcBorders>
              <w:top w:val="nil"/>
              <w:left w:val="nil"/>
              <w:bottom w:val="single" w:color="auto" w:sz="8" w:space="0"/>
              <w:right w:val="single" w:color="auto" w:sz="8" w:space="0"/>
            </w:tcBorders>
            <w:shd w:val="clear" w:color="000000" w:fill="auto"/>
            <w:vAlign w:val="center"/>
          </w:tcPr>
          <w:p w14:paraId="7DA6D46B">
            <w:pPr>
              <w:widowControl/>
              <w:shd w:val="clear"/>
              <w:jc w:val="center"/>
              <w:rPr>
                <w:rFonts w:ascii="仿宋" w:hAnsi="仿宋" w:eastAsia="仿宋" w:cs="仿宋_GB2312"/>
                <w:sz w:val="22"/>
              </w:rPr>
            </w:pPr>
          </w:p>
        </w:tc>
        <w:tc>
          <w:tcPr>
            <w:tcW w:w="1723" w:type="dxa"/>
            <w:tcBorders>
              <w:top w:val="nil"/>
              <w:left w:val="nil"/>
              <w:bottom w:val="single" w:color="auto" w:sz="8" w:space="0"/>
              <w:right w:val="single" w:color="auto" w:sz="8" w:space="0"/>
            </w:tcBorders>
            <w:shd w:val="clear" w:color="000000" w:fill="auto"/>
          </w:tcPr>
          <w:p w14:paraId="043010C0">
            <w:pPr>
              <w:widowControl/>
              <w:shd w:val="clear"/>
              <w:jc w:val="center"/>
              <w:rPr>
                <w:rFonts w:ascii="仿宋" w:hAnsi="仿宋" w:eastAsia="仿宋" w:cs="仿宋_GB2312"/>
                <w:sz w:val="22"/>
              </w:rPr>
            </w:pPr>
          </w:p>
        </w:tc>
      </w:tr>
      <w:tr w14:paraId="09DDB9EF">
        <w:tblPrEx>
          <w:tblCellMar>
            <w:top w:w="0" w:type="dxa"/>
            <w:left w:w="108" w:type="dxa"/>
            <w:bottom w:w="0" w:type="dxa"/>
            <w:right w:w="108" w:type="dxa"/>
          </w:tblCellMar>
        </w:tblPrEx>
        <w:trPr>
          <w:trHeight w:val="629" w:hRule="atLeast"/>
        </w:trPr>
        <w:tc>
          <w:tcPr>
            <w:tcW w:w="851" w:type="dxa"/>
            <w:vMerge w:val="continue"/>
            <w:tcBorders>
              <w:top w:val="nil"/>
              <w:left w:val="single" w:color="auto" w:sz="8" w:space="0"/>
              <w:bottom w:val="nil"/>
              <w:right w:val="single" w:color="auto" w:sz="8" w:space="0"/>
            </w:tcBorders>
            <w:vAlign w:val="center"/>
          </w:tcPr>
          <w:p w14:paraId="54DD1C6F">
            <w:pPr>
              <w:widowControl/>
              <w:shd w:val="clear"/>
              <w:jc w:val="center"/>
              <w:rPr>
                <w:rFonts w:ascii="仿宋" w:hAnsi="仿宋" w:eastAsia="仿宋" w:cs="宋体"/>
                <w:b/>
                <w:bCs/>
                <w:color w:val="000000"/>
                <w:kern w:val="0"/>
                <w:sz w:val="22"/>
                <w:szCs w:val="24"/>
              </w:rPr>
            </w:pPr>
          </w:p>
        </w:tc>
        <w:tc>
          <w:tcPr>
            <w:tcW w:w="986" w:type="dxa"/>
            <w:vMerge w:val="continue"/>
            <w:tcBorders>
              <w:top w:val="nil"/>
              <w:left w:val="single" w:color="auto" w:sz="8" w:space="0"/>
              <w:bottom w:val="nil"/>
              <w:right w:val="single" w:color="auto" w:sz="8" w:space="0"/>
            </w:tcBorders>
            <w:vAlign w:val="center"/>
          </w:tcPr>
          <w:p w14:paraId="4198AEE8">
            <w:pPr>
              <w:widowControl/>
              <w:shd w:val="clear"/>
              <w:jc w:val="left"/>
              <w:rPr>
                <w:rFonts w:ascii="仿宋" w:hAnsi="仿宋" w:eastAsia="仿宋" w:cs="仿宋_GB2312"/>
                <w:sz w:val="22"/>
              </w:rPr>
            </w:pPr>
          </w:p>
        </w:tc>
        <w:tc>
          <w:tcPr>
            <w:tcW w:w="766" w:type="dxa"/>
            <w:vMerge w:val="restart"/>
            <w:tcBorders>
              <w:top w:val="single" w:color="auto" w:sz="8" w:space="0"/>
              <w:left w:val="single" w:color="auto" w:sz="8" w:space="0"/>
              <w:right w:val="single" w:color="auto" w:sz="8" w:space="0"/>
            </w:tcBorders>
            <w:shd w:val="clear" w:color="000000" w:fill="auto"/>
            <w:vAlign w:val="center"/>
          </w:tcPr>
          <w:p w14:paraId="197AD94B">
            <w:pPr>
              <w:widowControl/>
              <w:shd w:val="clear"/>
              <w:jc w:val="center"/>
              <w:rPr>
                <w:rFonts w:ascii="仿宋" w:hAnsi="仿宋" w:eastAsia="仿宋" w:cs="仿宋_GB2312"/>
                <w:sz w:val="22"/>
              </w:rPr>
            </w:pPr>
            <w:r>
              <w:rPr>
                <w:rFonts w:hint="eastAsia" w:ascii="仿宋" w:hAnsi="仿宋" w:eastAsia="仿宋" w:cs="仿宋_GB2312"/>
                <w:sz w:val="22"/>
              </w:rPr>
              <w:t>研究实力</w:t>
            </w:r>
          </w:p>
        </w:tc>
        <w:tc>
          <w:tcPr>
            <w:tcW w:w="737" w:type="dxa"/>
            <w:tcBorders>
              <w:top w:val="nil"/>
              <w:left w:val="nil"/>
              <w:bottom w:val="single" w:color="auto" w:sz="8" w:space="0"/>
              <w:right w:val="single" w:color="auto" w:sz="8" w:space="0"/>
            </w:tcBorders>
            <w:shd w:val="clear" w:color="000000" w:fill="auto"/>
            <w:vAlign w:val="center"/>
          </w:tcPr>
          <w:p w14:paraId="18EED203">
            <w:pPr>
              <w:widowControl/>
              <w:shd w:val="clear"/>
              <w:jc w:val="center"/>
              <w:rPr>
                <w:rFonts w:ascii="仿宋" w:hAnsi="仿宋" w:eastAsia="仿宋" w:cs="仿宋_GB2312"/>
                <w:sz w:val="22"/>
              </w:rPr>
            </w:pPr>
            <w:r>
              <w:rPr>
                <w:rFonts w:hint="eastAsia" w:ascii="仿宋" w:hAnsi="仿宋" w:eastAsia="仿宋" w:cs="仿宋_GB2312"/>
                <w:sz w:val="22"/>
              </w:rPr>
              <w:t>6</w:t>
            </w:r>
          </w:p>
        </w:tc>
        <w:tc>
          <w:tcPr>
            <w:tcW w:w="4708" w:type="dxa"/>
            <w:tcBorders>
              <w:top w:val="nil"/>
              <w:left w:val="nil"/>
              <w:bottom w:val="single" w:color="auto" w:sz="8" w:space="0"/>
              <w:right w:val="single" w:color="auto" w:sz="8" w:space="0"/>
            </w:tcBorders>
            <w:shd w:val="clear" w:color="000000" w:fill="auto"/>
            <w:vAlign w:val="center"/>
          </w:tcPr>
          <w:p w14:paraId="1CFB86AC">
            <w:pPr>
              <w:shd w:val="clear"/>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参选单位具备较强的研究能力。参选单位（包括全资母公司及全资子公司）</w:t>
            </w:r>
            <w:r>
              <w:rPr>
                <w:rFonts w:ascii="仿宋" w:hAnsi="仿宋" w:eastAsia="仿宋" w:cs="仿宋_GB2312"/>
                <w:color w:val="000000" w:themeColor="text1"/>
                <w:sz w:val="22"/>
                <w14:textFill>
                  <w14:solidFill>
                    <w14:schemeClr w14:val="tx1"/>
                  </w14:solidFill>
                </w14:textFill>
              </w:rPr>
              <w:t>在</w:t>
            </w:r>
            <w:r>
              <w:rPr>
                <w:rFonts w:hint="eastAsia" w:ascii="仿宋" w:hAnsi="仿宋" w:eastAsia="仿宋" w:cs="仿宋_GB2312"/>
                <w:color w:val="000000" w:themeColor="text1"/>
                <w:sz w:val="22"/>
                <w14:textFill>
                  <w14:solidFill>
                    <w14:schemeClr w14:val="tx1"/>
                  </w14:solidFill>
                </w14:textFill>
              </w:rPr>
              <w:t>“十三五、十四五”期间，有参加生育</w:t>
            </w:r>
            <w:r>
              <w:rPr>
                <w:rFonts w:ascii="仿宋" w:hAnsi="仿宋" w:eastAsia="仿宋" w:cs="仿宋_GB2312"/>
                <w:color w:val="000000" w:themeColor="text1"/>
                <w:sz w:val="22"/>
                <w14:textFill>
                  <w14:solidFill>
                    <w14:schemeClr w14:val="tx1"/>
                  </w14:solidFill>
                </w14:textFill>
              </w:rPr>
              <w:t>健康/</w:t>
            </w:r>
            <w:r>
              <w:rPr>
                <w:rFonts w:hint="eastAsia" w:ascii="仿宋" w:hAnsi="仿宋" w:eastAsia="仿宋" w:cs="仿宋_GB2312"/>
                <w:color w:val="000000" w:themeColor="text1"/>
                <w:sz w:val="22"/>
                <w14:textFill>
                  <w14:solidFill>
                    <w14:schemeClr w14:val="tx1"/>
                  </w14:solidFill>
                </w14:textFill>
              </w:rPr>
              <w:t>生殖</w:t>
            </w:r>
            <w:r>
              <w:rPr>
                <w:rFonts w:ascii="仿宋" w:hAnsi="仿宋" w:eastAsia="仿宋" w:cs="仿宋_GB2312"/>
                <w:color w:val="000000" w:themeColor="text1"/>
                <w:sz w:val="22"/>
                <w14:textFill>
                  <w14:solidFill>
                    <w14:schemeClr w14:val="tx1"/>
                  </w14:solidFill>
                </w14:textFill>
              </w:rPr>
              <w:t>健康类</w:t>
            </w:r>
            <w:r>
              <w:rPr>
                <w:rFonts w:hint="eastAsia" w:ascii="仿宋" w:hAnsi="仿宋" w:eastAsia="仿宋" w:cs="仿宋_GB2312"/>
                <w:color w:val="000000" w:themeColor="text1"/>
                <w:sz w:val="22"/>
                <w14:textFill>
                  <w14:solidFill>
                    <w14:schemeClr w14:val="tx1"/>
                  </w14:solidFill>
                </w14:textFill>
              </w:rPr>
              <w:t>国家重点研发计划项目经验的，每有一项得1分，共6分（提供相关协议证明资料）；</w:t>
            </w:r>
          </w:p>
        </w:tc>
        <w:tc>
          <w:tcPr>
            <w:tcW w:w="654" w:type="dxa"/>
            <w:tcBorders>
              <w:top w:val="nil"/>
              <w:left w:val="nil"/>
              <w:bottom w:val="single" w:color="auto" w:sz="8" w:space="0"/>
              <w:right w:val="single" w:color="auto" w:sz="8" w:space="0"/>
            </w:tcBorders>
            <w:shd w:val="clear" w:color="000000" w:fill="auto"/>
            <w:vAlign w:val="center"/>
          </w:tcPr>
          <w:p w14:paraId="1DAE0178">
            <w:pPr>
              <w:widowControl/>
              <w:shd w:val="clear"/>
              <w:jc w:val="center"/>
              <w:rPr>
                <w:rFonts w:ascii="仿宋" w:hAnsi="仿宋" w:eastAsia="仿宋" w:cs="仿宋_GB2312"/>
                <w:sz w:val="22"/>
              </w:rPr>
            </w:pPr>
          </w:p>
        </w:tc>
        <w:tc>
          <w:tcPr>
            <w:tcW w:w="1723" w:type="dxa"/>
            <w:tcBorders>
              <w:top w:val="nil"/>
              <w:left w:val="nil"/>
              <w:bottom w:val="single" w:color="auto" w:sz="8" w:space="0"/>
              <w:right w:val="single" w:color="auto" w:sz="8" w:space="0"/>
            </w:tcBorders>
            <w:shd w:val="clear" w:color="000000" w:fill="auto"/>
          </w:tcPr>
          <w:p w14:paraId="377B2240">
            <w:pPr>
              <w:widowControl/>
              <w:shd w:val="clear"/>
              <w:jc w:val="center"/>
              <w:rPr>
                <w:rFonts w:ascii="仿宋" w:hAnsi="仿宋" w:eastAsia="仿宋" w:cs="仿宋_GB2312"/>
                <w:sz w:val="22"/>
              </w:rPr>
            </w:pPr>
          </w:p>
        </w:tc>
      </w:tr>
      <w:tr w14:paraId="6F637668">
        <w:tblPrEx>
          <w:tblCellMar>
            <w:top w:w="0" w:type="dxa"/>
            <w:left w:w="108" w:type="dxa"/>
            <w:bottom w:w="0" w:type="dxa"/>
            <w:right w:w="108" w:type="dxa"/>
          </w:tblCellMar>
        </w:tblPrEx>
        <w:trPr>
          <w:trHeight w:val="629" w:hRule="atLeast"/>
        </w:trPr>
        <w:tc>
          <w:tcPr>
            <w:tcW w:w="851" w:type="dxa"/>
            <w:vMerge w:val="continue"/>
            <w:tcBorders>
              <w:top w:val="nil"/>
              <w:left w:val="single" w:color="auto" w:sz="8" w:space="0"/>
              <w:bottom w:val="nil"/>
              <w:right w:val="single" w:color="auto" w:sz="8" w:space="0"/>
            </w:tcBorders>
            <w:vAlign w:val="center"/>
          </w:tcPr>
          <w:p w14:paraId="02A1E559">
            <w:pPr>
              <w:widowControl/>
              <w:shd w:val="clear"/>
              <w:jc w:val="center"/>
              <w:rPr>
                <w:rFonts w:ascii="仿宋" w:hAnsi="仿宋" w:eastAsia="仿宋" w:cs="宋体"/>
                <w:b/>
                <w:bCs/>
                <w:color w:val="000000"/>
                <w:kern w:val="0"/>
                <w:sz w:val="22"/>
                <w:szCs w:val="24"/>
              </w:rPr>
            </w:pPr>
          </w:p>
        </w:tc>
        <w:tc>
          <w:tcPr>
            <w:tcW w:w="986" w:type="dxa"/>
            <w:vMerge w:val="continue"/>
            <w:tcBorders>
              <w:top w:val="nil"/>
              <w:left w:val="single" w:color="auto" w:sz="8" w:space="0"/>
              <w:bottom w:val="nil"/>
              <w:right w:val="single" w:color="auto" w:sz="8" w:space="0"/>
            </w:tcBorders>
            <w:vAlign w:val="center"/>
          </w:tcPr>
          <w:p w14:paraId="17E837BD">
            <w:pPr>
              <w:widowControl/>
              <w:shd w:val="clear"/>
              <w:jc w:val="left"/>
              <w:rPr>
                <w:rFonts w:ascii="仿宋" w:hAnsi="仿宋" w:eastAsia="仿宋" w:cs="仿宋_GB2312"/>
                <w:sz w:val="22"/>
              </w:rPr>
            </w:pPr>
          </w:p>
        </w:tc>
        <w:tc>
          <w:tcPr>
            <w:tcW w:w="766" w:type="dxa"/>
            <w:vMerge w:val="continue"/>
            <w:tcBorders>
              <w:top w:val="single" w:color="auto" w:sz="8" w:space="0"/>
              <w:left w:val="single" w:color="auto" w:sz="8" w:space="0"/>
              <w:right w:val="single" w:color="auto" w:sz="8" w:space="0"/>
            </w:tcBorders>
            <w:shd w:val="clear" w:color="000000" w:fill="auto"/>
            <w:vAlign w:val="center"/>
          </w:tcPr>
          <w:p w14:paraId="42AF0E2D">
            <w:pPr>
              <w:widowControl/>
              <w:shd w:val="clear"/>
              <w:jc w:val="center"/>
              <w:rPr>
                <w:rFonts w:ascii="仿宋" w:hAnsi="仿宋" w:eastAsia="仿宋" w:cs="仿宋_GB2312"/>
                <w:sz w:val="22"/>
              </w:rPr>
            </w:pPr>
          </w:p>
        </w:tc>
        <w:tc>
          <w:tcPr>
            <w:tcW w:w="737" w:type="dxa"/>
            <w:tcBorders>
              <w:top w:val="nil"/>
              <w:left w:val="nil"/>
              <w:bottom w:val="single" w:color="auto" w:sz="8" w:space="0"/>
              <w:right w:val="single" w:color="auto" w:sz="8" w:space="0"/>
            </w:tcBorders>
            <w:shd w:val="clear" w:color="000000" w:fill="auto"/>
            <w:vAlign w:val="center"/>
          </w:tcPr>
          <w:p w14:paraId="50BFADE3">
            <w:pPr>
              <w:widowControl/>
              <w:shd w:val="clear"/>
              <w:jc w:val="center"/>
              <w:rPr>
                <w:rFonts w:ascii="仿宋" w:hAnsi="仿宋" w:eastAsia="仿宋" w:cs="仿宋_GB2312"/>
                <w:sz w:val="22"/>
              </w:rPr>
            </w:pPr>
            <w:r>
              <w:rPr>
                <w:rFonts w:ascii="仿宋" w:hAnsi="仿宋" w:eastAsia="仿宋" w:cs="仿宋_GB2312"/>
                <w:sz w:val="22"/>
              </w:rPr>
              <w:t>4</w:t>
            </w:r>
          </w:p>
        </w:tc>
        <w:tc>
          <w:tcPr>
            <w:tcW w:w="4708" w:type="dxa"/>
            <w:tcBorders>
              <w:top w:val="nil"/>
              <w:left w:val="nil"/>
              <w:bottom w:val="single" w:color="auto" w:sz="8" w:space="0"/>
              <w:right w:val="single" w:color="auto" w:sz="8" w:space="0"/>
            </w:tcBorders>
            <w:shd w:val="clear" w:color="000000" w:fill="auto"/>
            <w:vAlign w:val="center"/>
          </w:tcPr>
          <w:p w14:paraId="647EB9A0">
            <w:pPr>
              <w:shd w:val="clear"/>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参选单位（包括全资母公司及全资子公司）有参加生育</w:t>
            </w:r>
            <w:r>
              <w:rPr>
                <w:rFonts w:ascii="仿宋" w:hAnsi="仿宋" w:eastAsia="仿宋" w:cs="仿宋_GB2312"/>
                <w:color w:val="000000" w:themeColor="text1"/>
                <w:sz w:val="22"/>
                <w14:textFill>
                  <w14:solidFill>
                    <w14:schemeClr w14:val="tx1"/>
                  </w14:solidFill>
                </w14:textFill>
              </w:rPr>
              <w:t>健康/</w:t>
            </w:r>
            <w:r>
              <w:rPr>
                <w:rFonts w:hint="eastAsia" w:ascii="仿宋" w:hAnsi="仿宋" w:eastAsia="仿宋" w:cs="仿宋_GB2312"/>
                <w:color w:val="000000" w:themeColor="text1"/>
                <w:sz w:val="22"/>
                <w14:textFill>
                  <w14:solidFill>
                    <w14:schemeClr w14:val="tx1"/>
                  </w14:solidFill>
                </w14:textFill>
              </w:rPr>
              <w:t>妇儿</w:t>
            </w:r>
            <w:r>
              <w:rPr>
                <w:rFonts w:ascii="仿宋" w:hAnsi="仿宋" w:eastAsia="仿宋" w:cs="仿宋_GB2312"/>
                <w:color w:val="000000" w:themeColor="text1"/>
                <w:sz w:val="22"/>
                <w14:textFill>
                  <w14:solidFill>
                    <w14:schemeClr w14:val="tx1"/>
                  </w14:solidFill>
                </w14:textFill>
              </w:rPr>
              <w:t>健康</w:t>
            </w:r>
            <w:r>
              <w:rPr>
                <w:rFonts w:hint="eastAsia" w:ascii="仿宋" w:hAnsi="仿宋" w:eastAsia="仿宋" w:cs="仿宋_GB2312"/>
                <w:color w:val="000000" w:themeColor="text1"/>
                <w:sz w:val="22"/>
                <w14:textFill>
                  <w14:solidFill>
                    <w14:schemeClr w14:val="tx1"/>
                  </w14:solidFill>
                </w14:textFill>
              </w:rPr>
              <w:t>领域省级重点研发计划项目经验的，每有一项得1分，共4分（提供相关协议证明资料）。</w:t>
            </w:r>
          </w:p>
        </w:tc>
        <w:tc>
          <w:tcPr>
            <w:tcW w:w="654" w:type="dxa"/>
            <w:tcBorders>
              <w:top w:val="nil"/>
              <w:left w:val="nil"/>
              <w:bottom w:val="single" w:color="auto" w:sz="8" w:space="0"/>
              <w:right w:val="single" w:color="auto" w:sz="8" w:space="0"/>
            </w:tcBorders>
            <w:shd w:val="clear" w:color="000000" w:fill="auto"/>
            <w:vAlign w:val="center"/>
          </w:tcPr>
          <w:p w14:paraId="6CA418FF">
            <w:pPr>
              <w:widowControl/>
              <w:shd w:val="clear"/>
              <w:jc w:val="center"/>
              <w:rPr>
                <w:rFonts w:ascii="仿宋" w:hAnsi="仿宋" w:eastAsia="仿宋" w:cs="仿宋_GB2312"/>
                <w:sz w:val="22"/>
              </w:rPr>
            </w:pPr>
          </w:p>
        </w:tc>
        <w:tc>
          <w:tcPr>
            <w:tcW w:w="1723" w:type="dxa"/>
            <w:tcBorders>
              <w:top w:val="nil"/>
              <w:left w:val="nil"/>
              <w:bottom w:val="single" w:color="auto" w:sz="8" w:space="0"/>
              <w:right w:val="single" w:color="auto" w:sz="8" w:space="0"/>
            </w:tcBorders>
            <w:shd w:val="clear" w:color="000000" w:fill="auto"/>
          </w:tcPr>
          <w:p w14:paraId="6E5FE1B9">
            <w:pPr>
              <w:widowControl/>
              <w:shd w:val="clear"/>
              <w:jc w:val="center"/>
              <w:rPr>
                <w:rFonts w:ascii="仿宋" w:hAnsi="仿宋" w:eastAsia="仿宋" w:cs="仿宋_GB2312"/>
                <w:sz w:val="22"/>
              </w:rPr>
            </w:pPr>
          </w:p>
        </w:tc>
      </w:tr>
      <w:tr w14:paraId="5EC8562F">
        <w:tblPrEx>
          <w:tblCellMar>
            <w:top w:w="0" w:type="dxa"/>
            <w:left w:w="108" w:type="dxa"/>
            <w:bottom w:w="0" w:type="dxa"/>
            <w:right w:w="108" w:type="dxa"/>
          </w:tblCellMar>
        </w:tblPrEx>
        <w:trPr>
          <w:trHeight w:val="1579" w:hRule="atLeast"/>
        </w:trPr>
        <w:tc>
          <w:tcPr>
            <w:tcW w:w="851" w:type="dxa"/>
            <w:vMerge w:val="continue"/>
            <w:tcBorders>
              <w:top w:val="nil"/>
              <w:left w:val="single" w:color="auto" w:sz="8" w:space="0"/>
              <w:bottom w:val="single" w:color="auto" w:sz="4" w:space="0"/>
              <w:right w:val="single" w:color="auto" w:sz="8" w:space="0"/>
            </w:tcBorders>
            <w:vAlign w:val="center"/>
          </w:tcPr>
          <w:p w14:paraId="1A32C0A5">
            <w:pPr>
              <w:widowControl/>
              <w:shd w:val="clear"/>
              <w:jc w:val="center"/>
              <w:rPr>
                <w:rFonts w:ascii="仿宋" w:hAnsi="仿宋" w:eastAsia="仿宋" w:cs="宋体"/>
                <w:b/>
                <w:bCs/>
                <w:color w:val="000000"/>
                <w:kern w:val="0"/>
                <w:sz w:val="22"/>
                <w:szCs w:val="24"/>
              </w:rPr>
            </w:pPr>
          </w:p>
        </w:tc>
        <w:tc>
          <w:tcPr>
            <w:tcW w:w="986" w:type="dxa"/>
            <w:vMerge w:val="continue"/>
            <w:tcBorders>
              <w:top w:val="nil"/>
              <w:left w:val="single" w:color="auto" w:sz="8" w:space="0"/>
              <w:bottom w:val="single" w:color="auto" w:sz="4" w:space="0"/>
              <w:right w:val="single" w:color="auto" w:sz="8" w:space="0"/>
            </w:tcBorders>
            <w:vAlign w:val="center"/>
          </w:tcPr>
          <w:p w14:paraId="281543F9">
            <w:pPr>
              <w:widowControl/>
              <w:shd w:val="clear"/>
              <w:jc w:val="left"/>
              <w:rPr>
                <w:rFonts w:ascii="仿宋" w:hAnsi="仿宋" w:eastAsia="仿宋" w:cs="仿宋_GB2312"/>
                <w:sz w:val="22"/>
              </w:rPr>
            </w:pPr>
          </w:p>
        </w:tc>
        <w:tc>
          <w:tcPr>
            <w:tcW w:w="766" w:type="dxa"/>
            <w:vMerge w:val="continue"/>
            <w:tcBorders>
              <w:left w:val="single" w:color="auto" w:sz="8" w:space="0"/>
              <w:bottom w:val="single" w:color="auto" w:sz="4" w:space="0"/>
              <w:right w:val="single" w:color="auto" w:sz="8" w:space="0"/>
            </w:tcBorders>
            <w:shd w:val="clear" w:color="000000" w:fill="auto"/>
            <w:vAlign w:val="center"/>
          </w:tcPr>
          <w:p w14:paraId="52DD6C9D">
            <w:pPr>
              <w:widowControl/>
              <w:shd w:val="clear"/>
              <w:jc w:val="center"/>
              <w:rPr>
                <w:rFonts w:ascii="仿宋" w:hAnsi="仿宋" w:eastAsia="仿宋" w:cs="仿宋_GB2312"/>
                <w:sz w:val="22"/>
              </w:rPr>
            </w:pPr>
          </w:p>
        </w:tc>
        <w:tc>
          <w:tcPr>
            <w:tcW w:w="737" w:type="dxa"/>
            <w:tcBorders>
              <w:top w:val="nil"/>
              <w:left w:val="nil"/>
              <w:bottom w:val="single" w:color="auto" w:sz="4" w:space="0"/>
              <w:right w:val="single" w:color="auto" w:sz="8" w:space="0"/>
            </w:tcBorders>
            <w:shd w:val="clear" w:color="000000" w:fill="auto"/>
            <w:vAlign w:val="center"/>
          </w:tcPr>
          <w:p w14:paraId="139CB5FA">
            <w:pPr>
              <w:widowControl/>
              <w:shd w:val="clear"/>
              <w:jc w:val="center"/>
              <w:rPr>
                <w:rFonts w:ascii="仿宋" w:hAnsi="仿宋" w:eastAsia="仿宋" w:cs="仿宋_GB2312"/>
                <w:sz w:val="22"/>
              </w:rPr>
            </w:pPr>
            <w:r>
              <w:rPr>
                <w:rFonts w:ascii="仿宋" w:hAnsi="仿宋" w:eastAsia="仿宋" w:cs="仿宋_GB2312"/>
                <w:sz w:val="22"/>
              </w:rPr>
              <w:t>2</w:t>
            </w:r>
          </w:p>
        </w:tc>
        <w:tc>
          <w:tcPr>
            <w:tcW w:w="4708" w:type="dxa"/>
            <w:tcBorders>
              <w:top w:val="nil"/>
              <w:left w:val="nil"/>
              <w:bottom w:val="single" w:color="auto" w:sz="4" w:space="0"/>
              <w:right w:val="single" w:color="auto" w:sz="8" w:space="0"/>
            </w:tcBorders>
            <w:shd w:val="clear" w:color="000000" w:fill="auto"/>
            <w:vAlign w:val="center"/>
          </w:tcPr>
          <w:p w14:paraId="7DFE03B8">
            <w:pPr>
              <w:widowControl/>
              <w:shd w:val="clear"/>
              <w:rPr>
                <w:rFonts w:ascii="仿宋" w:hAnsi="仿宋" w:eastAsia="仿宋" w:cs="仿宋_GB2312"/>
                <w:color w:val="000000" w:themeColor="text1"/>
                <w:sz w:val="22"/>
                <w14:textFill>
                  <w14:solidFill>
                    <w14:schemeClr w14:val="tx1"/>
                  </w14:solidFill>
                </w14:textFill>
              </w:rPr>
            </w:pPr>
            <w:r>
              <w:rPr>
                <w:rFonts w:ascii="仿宋" w:hAnsi="仿宋" w:eastAsia="仿宋" w:cs="仿宋_GB2312"/>
                <w:color w:val="000000" w:themeColor="text1"/>
                <w:sz w:val="22"/>
                <w14:textFill>
                  <w14:solidFill>
                    <w14:schemeClr w14:val="tx1"/>
                  </w14:solidFill>
                </w14:textFill>
              </w:rPr>
              <w:t>参选单位</w:t>
            </w:r>
            <w:r>
              <w:rPr>
                <w:rFonts w:hint="eastAsia" w:ascii="仿宋" w:hAnsi="仿宋" w:eastAsia="仿宋" w:cs="仿宋_GB2312"/>
                <w:color w:val="000000" w:themeColor="text1"/>
                <w:sz w:val="22"/>
                <w14:textFill>
                  <w14:solidFill>
                    <w14:schemeClr w14:val="tx1"/>
                  </w14:solidFill>
                </w14:textFill>
              </w:rPr>
              <w:t>有</w:t>
            </w:r>
            <w:r>
              <w:rPr>
                <w:rFonts w:ascii="仿宋" w:hAnsi="仿宋" w:eastAsia="仿宋" w:cs="仿宋_GB2312"/>
                <w:color w:val="000000" w:themeColor="text1"/>
                <w:sz w:val="22"/>
                <w14:textFill>
                  <w14:solidFill>
                    <w14:schemeClr w14:val="tx1"/>
                  </w14:solidFill>
                </w14:textFill>
              </w:rPr>
              <w:t>国际权威机构认证的</w:t>
            </w:r>
            <w:r>
              <w:rPr>
                <w:rFonts w:hint="eastAsia" w:ascii="仿宋" w:hAnsi="仿宋" w:eastAsia="仿宋" w:cs="仿宋_GB2312"/>
                <w:color w:val="000000" w:themeColor="text1"/>
                <w:sz w:val="22"/>
                <w14:textFill>
                  <w14:solidFill>
                    <w14:schemeClr w14:val="tx1"/>
                  </w14:solidFill>
                </w14:textFill>
              </w:rPr>
              <w:t>遗传咨询专家</w:t>
            </w:r>
            <w:r>
              <w:rPr>
                <w:rFonts w:ascii="仿宋" w:hAnsi="仿宋" w:eastAsia="仿宋" w:cs="仿宋_GB2312"/>
                <w:color w:val="000000" w:themeColor="text1"/>
                <w:sz w:val="22"/>
                <w14:textFill>
                  <w14:solidFill>
                    <w14:schemeClr w14:val="tx1"/>
                  </w14:solidFill>
                </w14:textFill>
              </w:rPr>
              <w:t>（专家拥有如ABMGG认证</w:t>
            </w:r>
            <w:r>
              <w:rPr>
                <w:rFonts w:hint="eastAsia" w:ascii="仿宋" w:hAnsi="仿宋" w:eastAsia="仿宋" w:cs="仿宋_GB2312"/>
                <w:color w:val="000000" w:themeColor="text1"/>
                <w:sz w:val="22"/>
                <w14:textFill>
                  <w14:solidFill>
                    <w14:schemeClr w14:val="tx1"/>
                  </w14:solidFill>
                </w14:textFill>
              </w:rPr>
              <w:t>或</w:t>
            </w:r>
            <w:r>
              <w:rPr>
                <w:rFonts w:ascii="仿宋" w:hAnsi="仿宋" w:eastAsia="仿宋" w:cs="仿宋_GB2312"/>
                <w:color w:val="000000" w:themeColor="text1"/>
                <w:sz w:val="22"/>
                <w14:textFill>
                  <w14:solidFill>
                    <w14:schemeClr w14:val="tx1"/>
                  </w14:solidFill>
                </w14:textFill>
              </w:rPr>
              <w:t>FACMG等资质）</w:t>
            </w:r>
            <w:r>
              <w:rPr>
                <w:rFonts w:hint="eastAsia" w:ascii="仿宋" w:hAnsi="仿宋" w:eastAsia="仿宋" w:cs="仿宋_GB2312"/>
                <w:color w:val="000000" w:themeColor="text1"/>
                <w:sz w:val="22"/>
                <w14:textFill>
                  <w14:solidFill>
                    <w14:schemeClr w14:val="tx1"/>
                  </w14:solidFill>
                </w14:textFill>
              </w:rPr>
              <w:t>对检测数据进行审核判读、对检测结果进行分析，以及给出专业的治疗指导意见或下一步的检查建议（</w:t>
            </w:r>
            <w:r>
              <w:rPr>
                <w:rFonts w:ascii="仿宋" w:hAnsi="仿宋" w:eastAsia="仿宋" w:cs="仿宋_GB2312"/>
                <w:color w:val="000000" w:themeColor="text1"/>
                <w:sz w:val="22"/>
                <w14:textFill>
                  <w14:solidFill>
                    <w14:schemeClr w14:val="tx1"/>
                  </w14:solidFill>
                </w14:textFill>
              </w:rPr>
              <w:t>参选单位</w:t>
            </w:r>
            <w:r>
              <w:rPr>
                <w:rFonts w:hint="eastAsia" w:ascii="仿宋" w:hAnsi="仿宋" w:eastAsia="仿宋" w:cs="仿宋_GB2312"/>
                <w:color w:val="000000" w:themeColor="text1"/>
                <w:sz w:val="22"/>
                <w14:textFill>
                  <w14:solidFill>
                    <w14:schemeClr w14:val="tx1"/>
                  </w14:solidFill>
                </w14:textFill>
              </w:rPr>
              <w:t>需提供盖有单位公章的证书复印件和聘用合同或聘用证书复印件，提供相关人员资质证明），满足</w:t>
            </w:r>
            <w:r>
              <w:rPr>
                <w:rFonts w:ascii="仿宋" w:hAnsi="仿宋" w:eastAsia="仿宋" w:cs="仿宋_GB2312"/>
                <w:color w:val="000000" w:themeColor="text1"/>
                <w:sz w:val="22"/>
                <w14:textFill>
                  <w14:solidFill>
                    <w14:schemeClr w14:val="tx1"/>
                  </w14:solidFill>
                </w14:textFill>
              </w:rPr>
              <w:t>的</w:t>
            </w:r>
            <w:r>
              <w:rPr>
                <w:rFonts w:hint="eastAsia" w:ascii="仿宋" w:hAnsi="仿宋" w:eastAsia="仿宋" w:cs="仿宋_GB2312"/>
                <w:color w:val="000000" w:themeColor="text1"/>
                <w:sz w:val="22"/>
                <w14:textFill>
                  <w14:solidFill>
                    <w14:schemeClr w14:val="tx1"/>
                  </w14:solidFill>
                </w14:textFill>
              </w:rPr>
              <w:t>得2分，不满足不得分。</w:t>
            </w:r>
          </w:p>
        </w:tc>
        <w:tc>
          <w:tcPr>
            <w:tcW w:w="654" w:type="dxa"/>
            <w:tcBorders>
              <w:top w:val="nil"/>
              <w:left w:val="nil"/>
              <w:bottom w:val="single" w:color="auto" w:sz="4" w:space="0"/>
              <w:right w:val="single" w:color="auto" w:sz="8" w:space="0"/>
            </w:tcBorders>
            <w:shd w:val="clear" w:color="000000" w:fill="auto"/>
            <w:vAlign w:val="center"/>
          </w:tcPr>
          <w:p w14:paraId="14E1AA20">
            <w:pPr>
              <w:widowControl/>
              <w:shd w:val="clear"/>
              <w:jc w:val="center"/>
              <w:rPr>
                <w:rFonts w:ascii="仿宋" w:hAnsi="仿宋" w:eastAsia="仿宋" w:cs="仿宋_GB2312"/>
                <w:sz w:val="22"/>
              </w:rPr>
            </w:pPr>
          </w:p>
        </w:tc>
        <w:tc>
          <w:tcPr>
            <w:tcW w:w="1723" w:type="dxa"/>
            <w:tcBorders>
              <w:top w:val="nil"/>
              <w:left w:val="nil"/>
              <w:bottom w:val="single" w:color="auto" w:sz="4" w:space="0"/>
              <w:right w:val="single" w:color="auto" w:sz="8" w:space="0"/>
            </w:tcBorders>
            <w:shd w:val="clear" w:color="000000" w:fill="auto"/>
          </w:tcPr>
          <w:p w14:paraId="30483FE7">
            <w:pPr>
              <w:widowControl/>
              <w:shd w:val="clear"/>
              <w:jc w:val="center"/>
              <w:rPr>
                <w:rFonts w:ascii="仿宋" w:hAnsi="仿宋" w:eastAsia="仿宋" w:cs="仿宋_GB2312"/>
                <w:sz w:val="22"/>
              </w:rPr>
            </w:pPr>
          </w:p>
        </w:tc>
      </w:tr>
      <w:tr w14:paraId="7BDED67E">
        <w:tblPrEx>
          <w:tblCellMar>
            <w:top w:w="0" w:type="dxa"/>
            <w:left w:w="108" w:type="dxa"/>
            <w:bottom w:w="0" w:type="dxa"/>
            <w:right w:w="108" w:type="dxa"/>
          </w:tblCellMar>
        </w:tblPrEx>
        <w:trPr>
          <w:trHeight w:val="512" w:hRule="atLeast"/>
        </w:trPr>
        <w:tc>
          <w:tcPr>
            <w:tcW w:w="851" w:type="dxa"/>
            <w:vMerge w:val="continue"/>
            <w:tcBorders>
              <w:top w:val="single" w:color="auto" w:sz="4" w:space="0"/>
              <w:left w:val="single" w:color="auto" w:sz="8" w:space="0"/>
              <w:bottom w:val="single" w:color="auto" w:sz="4" w:space="0"/>
              <w:right w:val="single" w:color="auto" w:sz="8" w:space="0"/>
            </w:tcBorders>
            <w:vAlign w:val="center"/>
          </w:tcPr>
          <w:p w14:paraId="469F3E0A">
            <w:pPr>
              <w:widowControl/>
              <w:shd w:val="clear"/>
              <w:jc w:val="center"/>
              <w:rPr>
                <w:rFonts w:ascii="仿宋" w:hAnsi="仿宋" w:eastAsia="仿宋" w:cs="宋体"/>
                <w:b/>
                <w:bCs/>
                <w:color w:val="000000"/>
                <w:kern w:val="0"/>
                <w:sz w:val="22"/>
                <w:szCs w:val="24"/>
              </w:rPr>
            </w:pPr>
          </w:p>
        </w:tc>
        <w:tc>
          <w:tcPr>
            <w:tcW w:w="986" w:type="dxa"/>
            <w:vMerge w:val="continue"/>
            <w:tcBorders>
              <w:top w:val="single" w:color="auto" w:sz="4" w:space="0"/>
              <w:left w:val="single" w:color="auto" w:sz="8" w:space="0"/>
              <w:bottom w:val="single" w:color="auto" w:sz="4" w:space="0"/>
              <w:right w:val="single" w:color="auto" w:sz="8" w:space="0"/>
            </w:tcBorders>
            <w:vAlign w:val="center"/>
          </w:tcPr>
          <w:p w14:paraId="661BCDDD">
            <w:pPr>
              <w:widowControl/>
              <w:shd w:val="clear"/>
              <w:jc w:val="left"/>
              <w:rPr>
                <w:rFonts w:ascii="仿宋" w:hAnsi="仿宋" w:eastAsia="仿宋" w:cs="仿宋_GB2312"/>
                <w:sz w:val="22"/>
              </w:rPr>
            </w:pPr>
          </w:p>
        </w:tc>
        <w:tc>
          <w:tcPr>
            <w:tcW w:w="766" w:type="dxa"/>
            <w:tcBorders>
              <w:top w:val="single" w:color="auto" w:sz="4" w:space="0"/>
              <w:left w:val="single" w:color="auto" w:sz="8" w:space="0"/>
              <w:bottom w:val="single" w:color="000000" w:sz="8" w:space="0"/>
              <w:right w:val="single" w:color="auto" w:sz="8" w:space="0"/>
            </w:tcBorders>
            <w:shd w:val="clear" w:color="auto" w:fill="auto"/>
            <w:vAlign w:val="center"/>
          </w:tcPr>
          <w:p w14:paraId="53B57505">
            <w:pPr>
              <w:shd w:val="clear"/>
              <w:jc w:val="left"/>
              <w:rPr>
                <w:rFonts w:ascii="仿宋" w:hAnsi="仿宋" w:eastAsia="仿宋" w:cs="仿宋_GB2312"/>
                <w:sz w:val="22"/>
              </w:rPr>
            </w:pPr>
            <w:r>
              <w:rPr>
                <w:rFonts w:ascii="仿宋" w:hAnsi="仿宋" w:eastAsia="仿宋" w:cs="仿宋_GB2312"/>
                <w:sz w:val="22"/>
              </w:rPr>
              <w:t>运营实力</w:t>
            </w:r>
          </w:p>
        </w:tc>
        <w:tc>
          <w:tcPr>
            <w:tcW w:w="737" w:type="dxa"/>
            <w:tcBorders>
              <w:top w:val="single" w:color="auto" w:sz="4" w:space="0"/>
              <w:left w:val="nil"/>
              <w:bottom w:val="single" w:color="auto" w:sz="8" w:space="0"/>
              <w:right w:val="single" w:color="auto" w:sz="8" w:space="0"/>
            </w:tcBorders>
            <w:shd w:val="clear" w:color="auto" w:fill="auto"/>
            <w:vAlign w:val="center"/>
          </w:tcPr>
          <w:p w14:paraId="73572392">
            <w:pPr>
              <w:widowControl/>
              <w:shd w:val="clear"/>
              <w:jc w:val="center"/>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3</w:t>
            </w:r>
          </w:p>
        </w:tc>
        <w:tc>
          <w:tcPr>
            <w:tcW w:w="4708" w:type="dxa"/>
            <w:tcBorders>
              <w:top w:val="single" w:color="auto" w:sz="4" w:space="0"/>
              <w:left w:val="nil"/>
              <w:bottom w:val="single" w:color="auto" w:sz="8" w:space="0"/>
              <w:right w:val="single" w:color="auto" w:sz="8" w:space="0"/>
            </w:tcBorders>
            <w:shd w:val="clear" w:color="auto" w:fill="auto"/>
            <w:vAlign w:val="center"/>
          </w:tcPr>
          <w:p w14:paraId="70FC8150">
            <w:pPr>
              <w:widowControl/>
              <w:shd w:val="clear"/>
              <w:jc w:val="left"/>
              <w:rPr>
                <w:rFonts w:ascii="仿宋" w:hAnsi="仿宋" w:eastAsia="仿宋" w:cs="仿宋_GB2312"/>
                <w:color w:val="000000" w:themeColor="text1"/>
                <w:sz w:val="22"/>
                <w14:textFill>
                  <w14:solidFill>
                    <w14:schemeClr w14:val="tx1"/>
                  </w14:solidFill>
                </w14:textFill>
              </w:rPr>
            </w:pPr>
            <w:r>
              <w:rPr>
                <w:rFonts w:ascii="仿宋" w:hAnsi="仿宋" w:eastAsia="仿宋" w:cs="仿宋_GB2312"/>
                <w:color w:val="000000" w:themeColor="text1"/>
                <w:sz w:val="22"/>
                <w14:textFill>
                  <w14:solidFill>
                    <w14:schemeClr w14:val="tx1"/>
                  </w14:solidFill>
                </w14:textFill>
              </w:rPr>
              <w:t>参选单位</w:t>
            </w:r>
            <w:r>
              <w:rPr>
                <w:rFonts w:hint="eastAsia" w:ascii="仿宋" w:hAnsi="仿宋" w:eastAsia="仿宋" w:cs="仿宋_GB2312"/>
                <w:color w:val="000000" w:themeColor="text1"/>
                <w:sz w:val="22"/>
                <w14:textFill>
                  <w14:solidFill>
                    <w14:schemeClr w14:val="tx1"/>
                  </w14:solidFill>
                </w14:textFill>
              </w:rPr>
              <w:t>（包括全资母公司及全资子公司）</w:t>
            </w:r>
            <w:r>
              <w:rPr>
                <w:rFonts w:ascii="仿宋" w:hAnsi="仿宋" w:eastAsia="仿宋" w:cs="仿宋_GB2312"/>
                <w:color w:val="000000" w:themeColor="text1"/>
                <w:sz w:val="22"/>
                <w14:textFill>
                  <w14:solidFill>
                    <w14:schemeClr w14:val="tx1"/>
                  </w14:solidFill>
                </w14:textFill>
              </w:rPr>
              <w:t>具备自建临床检测专用冷链物流体系，有丰富样本作业经验和体系保障，可提供实时温控及临床样本 GPS 跟踪服务以及道路运输经营许可，能有效管控样本检验分析前质量及做好生物安全防控，深度参与样本分析前质量管理，实现单个样本全流程管理，最大限度的保证服务质量的，满足自建冷链物流体系的</w:t>
            </w:r>
            <w:r>
              <w:rPr>
                <w:rFonts w:hint="eastAsia" w:ascii="仿宋" w:hAnsi="仿宋" w:eastAsia="仿宋" w:cs="仿宋_GB2312"/>
                <w:color w:val="000000" w:themeColor="text1"/>
                <w:sz w:val="22"/>
                <w14:textFill>
                  <w14:solidFill>
                    <w14:schemeClr w14:val="tx1"/>
                  </w14:solidFill>
                </w14:textFill>
              </w:rPr>
              <w:t>得</w:t>
            </w:r>
            <w:r>
              <w:rPr>
                <w:rFonts w:ascii="仿宋" w:hAnsi="仿宋" w:eastAsia="仿宋" w:cs="仿宋_GB2312"/>
                <w:color w:val="000000" w:themeColor="text1"/>
                <w:sz w:val="22"/>
                <w14:textFill>
                  <w14:solidFill>
                    <w14:schemeClr w14:val="tx1"/>
                  </w14:solidFill>
                </w14:textFill>
              </w:rPr>
              <w:t>3分，</w:t>
            </w:r>
            <w:r>
              <w:rPr>
                <w:rFonts w:hint="eastAsia" w:ascii="仿宋" w:hAnsi="仿宋" w:eastAsia="仿宋" w:cs="仿宋_GB2312"/>
                <w:color w:val="000000" w:themeColor="text1"/>
                <w:sz w:val="22"/>
                <w14:textFill>
                  <w14:solidFill>
                    <w14:schemeClr w14:val="tx1"/>
                  </w14:solidFill>
                </w14:textFill>
              </w:rPr>
              <w:t>不满足</w:t>
            </w:r>
            <w:r>
              <w:rPr>
                <w:rFonts w:ascii="仿宋" w:hAnsi="仿宋" w:eastAsia="仿宋" w:cs="仿宋_GB2312"/>
                <w:color w:val="000000" w:themeColor="text1"/>
                <w:sz w:val="22"/>
                <w14:textFill>
                  <w14:solidFill>
                    <w14:schemeClr w14:val="tx1"/>
                  </w14:solidFill>
                </w14:textFill>
              </w:rPr>
              <w:t>的不得分（</w:t>
            </w:r>
            <w:r>
              <w:rPr>
                <w:rFonts w:hint="eastAsia" w:ascii="仿宋" w:hAnsi="仿宋" w:eastAsia="仿宋" w:cs="仿宋_GB2312"/>
                <w:color w:val="000000" w:themeColor="text1"/>
                <w:sz w:val="22"/>
                <w:lang w:eastAsia="zh-CN"/>
                <w14:textFill>
                  <w14:solidFill>
                    <w14:schemeClr w14:val="tx1"/>
                  </w14:solidFill>
                </w14:textFill>
              </w:rPr>
              <w:t>参选单位</w:t>
            </w:r>
            <w:r>
              <w:rPr>
                <w:rFonts w:hint="eastAsia" w:ascii="仿宋" w:hAnsi="仿宋" w:eastAsia="仿宋" w:cs="仿宋_GB2312"/>
                <w:color w:val="000000" w:themeColor="text1"/>
                <w:sz w:val="22"/>
                <w14:textFill>
                  <w14:solidFill>
                    <w14:schemeClr w14:val="tx1"/>
                  </w14:solidFill>
                </w14:textFill>
              </w:rPr>
              <w:t>提供针对本项目的运送方案，包括运输环节描述，路线规划，装备配置等；车辆、冷链运输箱等，提供相应证明材料或实物图片；成熟的物流软件管理系统，提供截图等证明材料</w:t>
            </w:r>
            <w:r>
              <w:rPr>
                <w:rFonts w:ascii="仿宋" w:hAnsi="仿宋" w:eastAsia="仿宋" w:cs="仿宋_GB2312"/>
                <w:color w:val="000000" w:themeColor="text1"/>
                <w:sz w:val="22"/>
                <w14:textFill>
                  <w14:solidFill>
                    <w14:schemeClr w14:val="tx1"/>
                  </w14:solidFill>
                </w14:textFill>
              </w:rPr>
              <w:t>）。</w:t>
            </w:r>
          </w:p>
        </w:tc>
        <w:tc>
          <w:tcPr>
            <w:tcW w:w="654" w:type="dxa"/>
            <w:tcBorders>
              <w:top w:val="single" w:color="auto" w:sz="4" w:space="0"/>
              <w:left w:val="nil"/>
              <w:bottom w:val="single" w:color="auto" w:sz="8" w:space="0"/>
              <w:right w:val="single" w:color="auto" w:sz="8" w:space="0"/>
            </w:tcBorders>
            <w:shd w:val="clear" w:color="auto" w:fill="auto"/>
            <w:vAlign w:val="center"/>
          </w:tcPr>
          <w:p w14:paraId="04A828F6">
            <w:pPr>
              <w:widowControl/>
              <w:shd w:val="clear"/>
              <w:jc w:val="center"/>
              <w:rPr>
                <w:rFonts w:ascii="仿宋" w:hAnsi="仿宋" w:eastAsia="仿宋" w:cs="仿宋_GB2312"/>
                <w:sz w:val="22"/>
              </w:rPr>
            </w:pPr>
          </w:p>
        </w:tc>
        <w:tc>
          <w:tcPr>
            <w:tcW w:w="1723" w:type="dxa"/>
            <w:tcBorders>
              <w:top w:val="single" w:color="auto" w:sz="4" w:space="0"/>
              <w:left w:val="nil"/>
              <w:bottom w:val="single" w:color="auto" w:sz="8" w:space="0"/>
              <w:right w:val="single" w:color="auto" w:sz="8" w:space="0"/>
            </w:tcBorders>
            <w:shd w:val="clear" w:color="auto" w:fill="auto"/>
          </w:tcPr>
          <w:p w14:paraId="42381087">
            <w:pPr>
              <w:widowControl/>
              <w:shd w:val="clear"/>
              <w:jc w:val="center"/>
              <w:rPr>
                <w:rFonts w:ascii="仿宋" w:hAnsi="仿宋" w:eastAsia="仿宋" w:cs="仿宋_GB2312"/>
                <w:sz w:val="22"/>
              </w:rPr>
            </w:pPr>
          </w:p>
        </w:tc>
      </w:tr>
      <w:tr w14:paraId="07668DB0">
        <w:tblPrEx>
          <w:tblCellMar>
            <w:top w:w="0" w:type="dxa"/>
            <w:left w:w="108" w:type="dxa"/>
            <w:bottom w:w="0" w:type="dxa"/>
            <w:right w:w="108" w:type="dxa"/>
          </w:tblCellMar>
        </w:tblPrEx>
        <w:trPr>
          <w:trHeight w:val="845" w:hRule="atLeast"/>
        </w:trPr>
        <w:tc>
          <w:tcPr>
            <w:tcW w:w="851" w:type="dxa"/>
            <w:tcBorders>
              <w:top w:val="single" w:color="auto" w:sz="4" w:space="0"/>
              <w:left w:val="single" w:color="auto" w:sz="8" w:space="0"/>
              <w:bottom w:val="nil"/>
              <w:right w:val="single" w:color="auto" w:sz="8" w:space="0"/>
            </w:tcBorders>
            <w:vAlign w:val="center"/>
          </w:tcPr>
          <w:p w14:paraId="2ED79C9B">
            <w:pPr>
              <w:widowControl/>
              <w:shd w:val="clear"/>
              <w:jc w:val="center"/>
              <w:rPr>
                <w:rFonts w:ascii="仿宋" w:hAnsi="仿宋" w:eastAsia="仿宋" w:cs="宋体"/>
                <w:b/>
                <w:bCs/>
                <w:color w:val="000000"/>
                <w:kern w:val="0"/>
                <w:sz w:val="22"/>
                <w:szCs w:val="24"/>
              </w:rPr>
            </w:pPr>
          </w:p>
        </w:tc>
        <w:tc>
          <w:tcPr>
            <w:tcW w:w="986" w:type="dxa"/>
            <w:vMerge w:val="restart"/>
            <w:tcBorders>
              <w:top w:val="single" w:color="auto" w:sz="4" w:space="0"/>
              <w:left w:val="single" w:color="auto" w:sz="8" w:space="0"/>
              <w:right w:val="single" w:color="auto" w:sz="8" w:space="0"/>
            </w:tcBorders>
            <w:vAlign w:val="center"/>
          </w:tcPr>
          <w:p w14:paraId="491F35C7">
            <w:pPr>
              <w:widowControl/>
              <w:shd w:val="clear"/>
              <w:jc w:val="center"/>
              <w:rPr>
                <w:rFonts w:ascii="仿宋" w:hAnsi="仿宋" w:eastAsia="仿宋" w:cs="仿宋_GB2312"/>
                <w:sz w:val="22"/>
              </w:rPr>
            </w:pPr>
            <w:r>
              <w:rPr>
                <w:rFonts w:ascii="仿宋" w:hAnsi="仿宋" w:eastAsia="仿宋" w:cs="仿宋_GB2312"/>
                <w:sz w:val="22"/>
              </w:rPr>
              <w:t>服务能力</w:t>
            </w:r>
          </w:p>
          <w:p w14:paraId="209FB177">
            <w:pPr>
              <w:widowControl/>
              <w:shd w:val="clear"/>
              <w:jc w:val="center"/>
              <w:rPr>
                <w:rFonts w:ascii="仿宋" w:hAnsi="仿宋" w:eastAsia="仿宋" w:cs="仿宋_GB2312"/>
                <w:sz w:val="22"/>
              </w:rPr>
            </w:pPr>
            <w:r>
              <w:rPr>
                <w:rFonts w:ascii="仿宋" w:hAnsi="仿宋" w:eastAsia="仿宋" w:cs="仿宋_GB2312"/>
                <w:sz w:val="22"/>
              </w:rPr>
              <w:t>（23</w:t>
            </w:r>
            <w:r>
              <w:rPr>
                <w:rFonts w:hint="eastAsia" w:ascii="仿宋" w:hAnsi="仿宋" w:eastAsia="仿宋" w:cs="仿宋_GB2312"/>
                <w:sz w:val="22"/>
                <w:lang w:val="en-US" w:eastAsia="zh-CN"/>
              </w:rPr>
              <w:t>%</w:t>
            </w:r>
            <w:r>
              <w:rPr>
                <w:rFonts w:ascii="仿宋" w:hAnsi="仿宋" w:eastAsia="仿宋" w:cs="仿宋_GB2312"/>
                <w:sz w:val="22"/>
              </w:rPr>
              <w:t>）</w:t>
            </w:r>
          </w:p>
        </w:tc>
        <w:tc>
          <w:tcPr>
            <w:tcW w:w="766" w:type="dxa"/>
            <w:tcBorders>
              <w:top w:val="single" w:color="auto" w:sz="4" w:space="0"/>
              <w:left w:val="nil"/>
              <w:right w:val="single" w:color="auto" w:sz="8" w:space="0"/>
            </w:tcBorders>
            <w:shd w:val="clear" w:color="000000" w:fill="auto"/>
            <w:vAlign w:val="center"/>
          </w:tcPr>
          <w:p w14:paraId="2967DCD3">
            <w:pPr>
              <w:widowControl/>
              <w:shd w:val="clear"/>
              <w:jc w:val="center"/>
              <w:rPr>
                <w:rFonts w:ascii="仿宋" w:hAnsi="仿宋" w:eastAsia="仿宋" w:cs="仿宋_GB2312"/>
                <w:sz w:val="22"/>
              </w:rPr>
            </w:pPr>
            <w:r>
              <w:rPr>
                <w:rFonts w:ascii="仿宋" w:hAnsi="仿宋" w:eastAsia="仿宋" w:cs="仿宋_GB2312"/>
                <w:sz w:val="22"/>
              </w:rPr>
              <w:t>业绩</w:t>
            </w:r>
          </w:p>
        </w:tc>
        <w:tc>
          <w:tcPr>
            <w:tcW w:w="737" w:type="dxa"/>
            <w:tcBorders>
              <w:top w:val="single" w:color="auto" w:sz="4" w:space="0"/>
              <w:left w:val="nil"/>
              <w:bottom w:val="single" w:color="auto" w:sz="8" w:space="0"/>
              <w:right w:val="single" w:color="auto" w:sz="8" w:space="0"/>
            </w:tcBorders>
            <w:shd w:val="clear" w:color="000000" w:fill="auto"/>
            <w:vAlign w:val="center"/>
          </w:tcPr>
          <w:p w14:paraId="108F6625">
            <w:pPr>
              <w:widowControl/>
              <w:shd w:val="clear"/>
              <w:jc w:val="center"/>
              <w:rPr>
                <w:rFonts w:ascii="仿宋" w:hAnsi="仿宋" w:eastAsia="仿宋" w:cs="仿宋_GB2312"/>
                <w:sz w:val="22"/>
              </w:rPr>
            </w:pPr>
            <w:r>
              <w:rPr>
                <w:rFonts w:hint="eastAsia" w:ascii="仿宋" w:hAnsi="仿宋" w:eastAsia="仿宋" w:cs="仿宋_GB2312"/>
                <w:sz w:val="22"/>
              </w:rPr>
              <w:t>10</w:t>
            </w:r>
          </w:p>
        </w:tc>
        <w:tc>
          <w:tcPr>
            <w:tcW w:w="4708" w:type="dxa"/>
            <w:tcBorders>
              <w:top w:val="single" w:color="auto" w:sz="4" w:space="0"/>
              <w:left w:val="nil"/>
              <w:bottom w:val="single" w:color="auto" w:sz="8" w:space="0"/>
              <w:right w:val="single" w:color="auto" w:sz="8" w:space="0"/>
            </w:tcBorders>
            <w:shd w:val="clear" w:color="000000" w:fill="auto"/>
            <w:vAlign w:val="center"/>
          </w:tcPr>
          <w:p w14:paraId="684E4499">
            <w:pPr>
              <w:widowControl/>
              <w:shd w:val="clear"/>
              <w:jc w:val="left"/>
              <w:rPr>
                <w:rFonts w:ascii="仿宋" w:hAnsi="仿宋" w:eastAsia="仿宋" w:cs="仿宋_GB2312"/>
                <w:sz w:val="22"/>
              </w:rPr>
            </w:pPr>
            <w:r>
              <w:rPr>
                <w:rFonts w:hint="eastAsia" w:ascii="仿宋" w:hAnsi="仿宋" w:eastAsia="仿宋" w:cs="仿宋_GB2312"/>
                <w:color w:val="000000" w:themeColor="text1"/>
                <w:sz w:val="22"/>
                <w14:textFill>
                  <w14:solidFill>
                    <w14:schemeClr w14:val="tx1"/>
                  </w14:solidFill>
                </w14:textFill>
              </w:rPr>
              <w:t>在孕妇外周血血浆游离DNA全基因组染色体高通量测序分析项目规范化开展方面，参选单位处在合作期内的向四川省内具备产前筛查、产前诊断资质的医疗机构提供本项目检测服务的机构数量，每提供1家得1分，满分10分。未提供相关证明文件的不得分（需提供参选单位从事孕妇外周血血浆游离DNA全基因组染色体高通量测序分析项目检测服务的处在合作期内的与产筛机构、产诊机构合作协议复印件作为相关证明并加盖公章）。</w:t>
            </w:r>
          </w:p>
        </w:tc>
        <w:tc>
          <w:tcPr>
            <w:tcW w:w="654" w:type="dxa"/>
            <w:tcBorders>
              <w:top w:val="single" w:color="auto" w:sz="4" w:space="0"/>
              <w:left w:val="nil"/>
              <w:bottom w:val="single" w:color="auto" w:sz="8" w:space="0"/>
              <w:right w:val="single" w:color="auto" w:sz="8" w:space="0"/>
            </w:tcBorders>
            <w:shd w:val="clear" w:color="000000" w:fill="auto"/>
            <w:vAlign w:val="center"/>
          </w:tcPr>
          <w:p w14:paraId="1DAA9367">
            <w:pPr>
              <w:widowControl/>
              <w:shd w:val="clear"/>
              <w:jc w:val="left"/>
              <w:rPr>
                <w:rFonts w:ascii="仿宋" w:hAnsi="仿宋" w:eastAsia="仿宋" w:cs="仿宋_GB2312"/>
                <w:sz w:val="22"/>
              </w:rPr>
            </w:pPr>
          </w:p>
        </w:tc>
        <w:tc>
          <w:tcPr>
            <w:tcW w:w="1723" w:type="dxa"/>
            <w:tcBorders>
              <w:top w:val="single" w:color="auto" w:sz="4" w:space="0"/>
              <w:left w:val="nil"/>
              <w:bottom w:val="single" w:color="auto" w:sz="8" w:space="0"/>
              <w:right w:val="single" w:color="auto" w:sz="8" w:space="0"/>
            </w:tcBorders>
            <w:shd w:val="clear" w:color="000000" w:fill="auto"/>
          </w:tcPr>
          <w:p w14:paraId="33E58686">
            <w:pPr>
              <w:widowControl/>
              <w:shd w:val="clear"/>
              <w:jc w:val="left"/>
              <w:rPr>
                <w:rFonts w:ascii="仿宋" w:hAnsi="仿宋" w:eastAsia="仿宋" w:cs="仿宋_GB2312"/>
                <w:color w:val="FF0000"/>
                <w:sz w:val="22"/>
              </w:rPr>
            </w:pPr>
          </w:p>
        </w:tc>
      </w:tr>
      <w:tr w14:paraId="2B6CA766">
        <w:tblPrEx>
          <w:tblCellMar>
            <w:top w:w="0" w:type="dxa"/>
            <w:left w:w="108" w:type="dxa"/>
            <w:bottom w:w="0" w:type="dxa"/>
            <w:right w:w="108" w:type="dxa"/>
          </w:tblCellMar>
        </w:tblPrEx>
        <w:trPr>
          <w:trHeight w:val="260" w:hRule="atLeast"/>
        </w:trPr>
        <w:tc>
          <w:tcPr>
            <w:tcW w:w="851" w:type="dxa"/>
            <w:vMerge w:val="restart"/>
            <w:tcBorders>
              <w:left w:val="single" w:color="auto" w:sz="8" w:space="0"/>
              <w:right w:val="single" w:color="auto" w:sz="8" w:space="0"/>
            </w:tcBorders>
            <w:vAlign w:val="center"/>
          </w:tcPr>
          <w:p w14:paraId="476B194C">
            <w:pPr>
              <w:shd w:val="clear"/>
              <w:jc w:val="center"/>
              <w:rPr>
                <w:rFonts w:ascii="仿宋" w:hAnsi="仿宋" w:eastAsia="仿宋" w:cs="宋体"/>
                <w:b/>
                <w:bCs/>
                <w:color w:val="000000"/>
                <w:kern w:val="0"/>
                <w:sz w:val="22"/>
                <w:szCs w:val="24"/>
              </w:rPr>
            </w:pPr>
          </w:p>
        </w:tc>
        <w:tc>
          <w:tcPr>
            <w:tcW w:w="986" w:type="dxa"/>
            <w:vMerge w:val="continue"/>
            <w:tcBorders>
              <w:left w:val="single" w:color="auto" w:sz="8" w:space="0"/>
              <w:right w:val="single" w:color="auto" w:sz="8" w:space="0"/>
            </w:tcBorders>
            <w:vAlign w:val="center"/>
          </w:tcPr>
          <w:p w14:paraId="72B6657A">
            <w:pPr>
              <w:shd w:val="clear"/>
              <w:jc w:val="left"/>
              <w:rPr>
                <w:rFonts w:ascii="仿宋" w:hAnsi="仿宋" w:eastAsia="仿宋" w:cs="仿宋_GB2312"/>
                <w:sz w:val="22"/>
              </w:rPr>
            </w:pPr>
          </w:p>
        </w:tc>
        <w:tc>
          <w:tcPr>
            <w:tcW w:w="766" w:type="dxa"/>
            <w:tcBorders>
              <w:top w:val="single" w:color="auto" w:sz="4" w:space="0"/>
              <w:left w:val="nil"/>
              <w:bottom w:val="single" w:color="auto" w:sz="8" w:space="0"/>
              <w:right w:val="single" w:color="auto" w:sz="8" w:space="0"/>
            </w:tcBorders>
            <w:shd w:val="clear" w:color="000000" w:fill="auto"/>
            <w:vAlign w:val="center"/>
          </w:tcPr>
          <w:p w14:paraId="5A5FF699">
            <w:pPr>
              <w:widowControl/>
              <w:shd w:val="clear"/>
              <w:jc w:val="center"/>
              <w:rPr>
                <w:rFonts w:ascii="仿宋" w:hAnsi="仿宋" w:eastAsia="仿宋" w:cs="仿宋_GB2312"/>
                <w:sz w:val="22"/>
              </w:rPr>
            </w:pPr>
            <w:r>
              <w:rPr>
                <w:rFonts w:hint="eastAsia" w:ascii="仿宋" w:hAnsi="仿宋" w:eastAsia="仿宋" w:cs="仿宋_GB2312"/>
                <w:sz w:val="22"/>
              </w:rPr>
              <w:t>合作方案</w:t>
            </w:r>
          </w:p>
        </w:tc>
        <w:tc>
          <w:tcPr>
            <w:tcW w:w="737" w:type="dxa"/>
            <w:tcBorders>
              <w:top w:val="nil"/>
              <w:left w:val="nil"/>
              <w:bottom w:val="single" w:color="auto" w:sz="8" w:space="0"/>
              <w:right w:val="single" w:color="auto" w:sz="8" w:space="0"/>
            </w:tcBorders>
            <w:shd w:val="clear" w:color="000000" w:fill="auto"/>
            <w:vAlign w:val="center"/>
          </w:tcPr>
          <w:p w14:paraId="2E844066">
            <w:pPr>
              <w:widowControl/>
              <w:shd w:val="clear"/>
              <w:jc w:val="center"/>
              <w:rPr>
                <w:rFonts w:ascii="仿宋" w:hAnsi="仿宋" w:eastAsia="仿宋" w:cs="仿宋_GB2312"/>
                <w:sz w:val="22"/>
              </w:rPr>
            </w:pPr>
            <w:r>
              <w:rPr>
                <w:rFonts w:hint="eastAsia" w:ascii="仿宋" w:hAnsi="仿宋" w:eastAsia="仿宋" w:cs="仿宋_GB2312"/>
                <w:sz w:val="22"/>
              </w:rPr>
              <w:t>10</w:t>
            </w:r>
          </w:p>
        </w:tc>
        <w:tc>
          <w:tcPr>
            <w:tcW w:w="4708" w:type="dxa"/>
            <w:tcBorders>
              <w:top w:val="nil"/>
              <w:left w:val="nil"/>
              <w:bottom w:val="single" w:color="auto" w:sz="8" w:space="0"/>
              <w:right w:val="single" w:color="auto" w:sz="8" w:space="0"/>
            </w:tcBorders>
            <w:shd w:val="clear" w:color="000000" w:fill="auto"/>
            <w:vAlign w:val="center"/>
          </w:tcPr>
          <w:p w14:paraId="22A7435A">
            <w:pPr>
              <w:shd w:val="clear"/>
              <w:adjustRightInd w:val="0"/>
              <w:snapToGrid w:val="0"/>
              <w:rPr>
                <w:rFonts w:ascii="仿宋" w:hAnsi="仿宋" w:eastAsia="仿宋" w:cs="仿宋_GB2312"/>
                <w:sz w:val="22"/>
              </w:rPr>
            </w:pPr>
            <w:r>
              <w:rPr>
                <w:rFonts w:hint="eastAsia" w:ascii="仿宋" w:hAnsi="仿宋" w:eastAsia="仿宋" w:cs="仿宋_GB2312"/>
                <w:sz w:val="22"/>
              </w:rPr>
              <w:t>根据</w:t>
            </w:r>
            <w:r>
              <w:rPr>
                <w:rFonts w:ascii="仿宋" w:hAnsi="仿宋" w:eastAsia="仿宋" w:cs="仿宋_GB2312"/>
                <w:sz w:val="22"/>
              </w:rPr>
              <w:t>参选单位</w:t>
            </w:r>
            <w:r>
              <w:rPr>
                <w:rFonts w:hint="eastAsia" w:ascii="仿宋" w:hAnsi="仿宋" w:eastAsia="仿宋" w:cs="仿宋_GB2312"/>
                <w:sz w:val="22"/>
              </w:rPr>
              <w:t>针对本项目提供的服务方案作为评审依据，包括以下内容：</w:t>
            </w:r>
          </w:p>
          <w:p w14:paraId="05CF9350">
            <w:pPr>
              <w:shd w:val="clear"/>
              <w:wordWrap w:val="0"/>
              <w:adjustRightInd w:val="0"/>
              <w:snapToGrid w:val="0"/>
              <w:rPr>
                <w:rFonts w:ascii="仿宋" w:hAnsi="仿宋" w:eastAsia="仿宋" w:cs="仿宋_GB2312"/>
                <w:sz w:val="22"/>
              </w:rPr>
            </w:pPr>
            <w:r>
              <w:rPr>
                <w:rFonts w:ascii="仿宋" w:hAnsi="仿宋" w:eastAsia="仿宋" w:cs="仿宋_GB2312"/>
                <w:sz w:val="22"/>
              </w:rPr>
              <w:fldChar w:fldCharType="begin"/>
            </w:r>
            <w:r>
              <w:rPr>
                <w:rFonts w:ascii="仿宋" w:hAnsi="仿宋" w:eastAsia="仿宋" w:cs="仿宋_GB2312"/>
                <w:sz w:val="22"/>
              </w:rPr>
              <w:instrText xml:space="preserve"> </w:instrText>
            </w:r>
            <w:r>
              <w:rPr>
                <w:rFonts w:hint="eastAsia" w:ascii="仿宋" w:hAnsi="仿宋" w:eastAsia="仿宋" w:cs="仿宋_GB2312"/>
                <w:sz w:val="22"/>
              </w:rPr>
              <w:instrText xml:space="preserve">eq \o\ac(○,</w:instrText>
            </w:r>
            <w:r>
              <w:rPr>
                <w:rFonts w:hint="eastAsia" w:ascii="仿宋" w:hAnsi="仿宋" w:eastAsia="仿宋" w:cs="仿宋_GB2312"/>
                <w:position w:val="3"/>
                <w:sz w:val="15"/>
              </w:rPr>
              <w:instrText xml:space="preserve">1</w:instrText>
            </w:r>
            <w:r>
              <w:rPr>
                <w:rFonts w:hint="eastAsia" w:ascii="仿宋" w:hAnsi="仿宋" w:eastAsia="仿宋" w:cs="仿宋_GB2312"/>
                <w:sz w:val="22"/>
              </w:rPr>
              <w:instrText xml:space="preserve">)</w:instrText>
            </w:r>
            <w:r>
              <w:rPr>
                <w:rFonts w:ascii="仿宋" w:hAnsi="仿宋" w:eastAsia="仿宋" w:cs="仿宋_GB2312"/>
                <w:sz w:val="22"/>
              </w:rPr>
              <w:fldChar w:fldCharType="end"/>
            </w:r>
            <w:r>
              <w:rPr>
                <w:rFonts w:hint="eastAsia" w:ascii="仿宋" w:hAnsi="仿宋" w:eastAsia="仿宋" w:cs="仿宋_GB2312"/>
                <w:sz w:val="22"/>
              </w:rPr>
              <w:t>整体服务流程；②标本接收方案（包括样本采集、标本收取、标本运输）；③检测工作流程</w:t>
            </w:r>
            <w:r>
              <w:rPr>
                <w:rFonts w:ascii="仿宋" w:hAnsi="仿宋" w:eastAsia="仿宋" w:cs="仿宋_GB2312"/>
                <w:sz w:val="22"/>
              </w:rPr>
              <w:t>及</w:t>
            </w:r>
            <w:r>
              <w:rPr>
                <w:rFonts w:hint="eastAsia" w:ascii="仿宋" w:hAnsi="仿宋" w:eastAsia="仿宋" w:cs="仿宋_GB2312"/>
                <w:sz w:val="22"/>
              </w:rPr>
              <w:t>检测结果报告方法；④技术支持方案（至少包含孕妇追踪随访服务流程及承诺函）；⑤技术培训方案；⑥服务质量保障措施；⑦应急方案（结果异议、报告丢失、标本丢失、医院急诊项目服务、提供特急标本优先加急特事特办服务）；⑧院外拓展方案</w:t>
            </w:r>
            <w:r>
              <w:rPr>
                <w:rFonts w:ascii="仿宋" w:hAnsi="仿宋" w:eastAsia="仿宋" w:cs="仿宋_GB2312"/>
                <w:sz w:val="22"/>
              </w:rPr>
              <w:t>及在四川的合作医院资源。</w:t>
            </w:r>
          </w:p>
          <w:p w14:paraId="07531FB6">
            <w:pPr>
              <w:widowControl/>
              <w:shd w:val="clear"/>
              <w:rPr>
                <w:rFonts w:ascii="仿宋" w:hAnsi="仿宋" w:eastAsia="仿宋" w:cs="仿宋_GB2312"/>
                <w:sz w:val="22"/>
              </w:rPr>
            </w:pPr>
            <w:r>
              <w:rPr>
                <w:rFonts w:hint="eastAsia" w:ascii="仿宋" w:hAnsi="仿宋" w:eastAsia="仿宋" w:cs="仿宋_GB2312"/>
                <w:sz w:val="22"/>
              </w:rPr>
              <w:t>以上内容完全满足项目实际需求的得10分，每有一项内容缺失扣1.2</w:t>
            </w:r>
            <w:r>
              <w:rPr>
                <w:rFonts w:ascii="仿宋" w:hAnsi="仿宋" w:eastAsia="仿宋" w:cs="仿宋_GB2312"/>
                <w:sz w:val="22"/>
              </w:rPr>
              <w:t>5</w:t>
            </w:r>
            <w:r>
              <w:rPr>
                <w:rFonts w:hint="eastAsia" w:ascii="仿宋" w:hAnsi="仿宋" w:eastAsia="仿宋" w:cs="仿宋_GB2312"/>
                <w:sz w:val="22"/>
              </w:rPr>
              <w:t>分，10分扣完为止。以上8项，每一项中每有1处存在内容缺陷扣</w:t>
            </w:r>
            <w:r>
              <w:rPr>
                <w:rFonts w:ascii="仿宋" w:hAnsi="仿宋" w:eastAsia="仿宋" w:cs="仿宋_GB2312"/>
                <w:sz w:val="22"/>
              </w:rPr>
              <w:t>0.5</w:t>
            </w:r>
            <w:r>
              <w:rPr>
                <w:rFonts w:hint="eastAsia" w:ascii="仿宋" w:hAnsi="仿宋" w:eastAsia="仿宋" w:cs="仿宋_GB2312"/>
                <w:sz w:val="22"/>
              </w:rPr>
              <w:t>分，每项关于内容缺陷最多扣1.2</w:t>
            </w:r>
            <w:r>
              <w:rPr>
                <w:rFonts w:ascii="仿宋" w:hAnsi="仿宋" w:eastAsia="仿宋" w:cs="仿宋_GB2312"/>
                <w:sz w:val="22"/>
              </w:rPr>
              <w:t>5</w:t>
            </w:r>
            <w:r>
              <w:rPr>
                <w:rFonts w:hint="eastAsia" w:ascii="仿宋" w:hAnsi="仿宋" w:eastAsia="仿宋" w:cs="仿宋_GB2312"/>
                <w:sz w:val="22"/>
              </w:rPr>
              <w:t>分。扣完为止。【内容缺陷是指：与本项目无关（无关指描述中存在使用其他项目、其他采购人或与本项目无关的内容）、内容描述有歧义、有错别字、前后矛盾、存在不适用项目实际情况的情形（与项目实际不匹配、不符合项目特点）、凭空编造、逻辑漏洞、科学原理错误以及不可能实现的夸大情形】</w:t>
            </w:r>
          </w:p>
        </w:tc>
        <w:tc>
          <w:tcPr>
            <w:tcW w:w="654" w:type="dxa"/>
            <w:tcBorders>
              <w:top w:val="nil"/>
              <w:left w:val="nil"/>
              <w:bottom w:val="single" w:color="auto" w:sz="8" w:space="0"/>
              <w:right w:val="single" w:color="auto" w:sz="8" w:space="0"/>
            </w:tcBorders>
            <w:shd w:val="clear" w:color="000000" w:fill="auto"/>
            <w:vAlign w:val="center"/>
          </w:tcPr>
          <w:p w14:paraId="1AF42CB6">
            <w:pPr>
              <w:widowControl/>
              <w:shd w:val="clear"/>
              <w:jc w:val="left"/>
              <w:rPr>
                <w:rFonts w:ascii="仿宋" w:hAnsi="仿宋" w:eastAsia="仿宋" w:cs="仿宋_GB2312"/>
                <w:sz w:val="22"/>
              </w:rPr>
            </w:pPr>
          </w:p>
        </w:tc>
        <w:tc>
          <w:tcPr>
            <w:tcW w:w="1723" w:type="dxa"/>
            <w:tcBorders>
              <w:top w:val="nil"/>
              <w:left w:val="nil"/>
              <w:bottom w:val="single" w:color="auto" w:sz="8" w:space="0"/>
              <w:right w:val="single" w:color="auto" w:sz="8" w:space="0"/>
            </w:tcBorders>
            <w:shd w:val="clear" w:color="000000" w:fill="auto"/>
          </w:tcPr>
          <w:p w14:paraId="2464004F">
            <w:pPr>
              <w:widowControl/>
              <w:shd w:val="clear"/>
              <w:jc w:val="left"/>
              <w:rPr>
                <w:rFonts w:ascii="仿宋" w:hAnsi="仿宋" w:eastAsia="仿宋" w:cs="仿宋_GB2312"/>
                <w:sz w:val="22"/>
              </w:rPr>
            </w:pPr>
          </w:p>
        </w:tc>
      </w:tr>
      <w:tr w14:paraId="3AEA81EE">
        <w:tblPrEx>
          <w:tblCellMar>
            <w:top w:w="0" w:type="dxa"/>
            <w:left w:w="108" w:type="dxa"/>
            <w:bottom w:w="0" w:type="dxa"/>
            <w:right w:w="108" w:type="dxa"/>
          </w:tblCellMar>
        </w:tblPrEx>
        <w:trPr>
          <w:trHeight w:val="80" w:hRule="atLeast"/>
        </w:trPr>
        <w:tc>
          <w:tcPr>
            <w:tcW w:w="851" w:type="dxa"/>
            <w:vMerge w:val="continue"/>
            <w:tcBorders>
              <w:left w:val="single" w:color="auto" w:sz="8" w:space="0"/>
              <w:bottom w:val="single" w:color="auto" w:sz="4" w:space="0"/>
              <w:right w:val="single" w:color="auto" w:sz="8" w:space="0"/>
            </w:tcBorders>
            <w:vAlign w:val="center"/>
          </w:tcPr>
          <w:p w14:paraId="025EBF96">
            <w:pPr>
              <w:shd w:val="clear"/>
              <w:jc w:val="center"/>
              <w:rPr>
                <w:rFonts w:ascii="仿宋" w:hAnsi="仿宋" w:eastAsia="仿宋" w:cs="宋体"/>
                <w:b/>
                <w:bCs/>
                <w:color w:val="000000"/>
                <w:kern w:val="0"/>
                <w:sz w:val="22"/>
                <w:szCs w:val="24"/>
              </w:rPr>
            </w:pPr>
          </w:p>
        </w:tc>
        <w:tc>
          <w:tcPr>
            <w:tcW w:w="986" w:type="dxa"/>
            <w:vMerge w:val="continue"/>
            <w:tcBorders>
              <w:left w:val="single" w:color="auto" w:sz="8" w:space="0"/>
              <w:bottom w:val="single" w:color="000000" w:sz="8" w:space="0"/>
              <w:right w:val="single" w:color="auto" w:sz="8" w:space="0"/>
            </w:tcBorders>
            <w:vAlign w:val="center"/>
          </w:tcPr>
          <w:p w14:paraId="07E89491">
            <w:pPr>
              <w:shd w:val="clear"/>
              <w:jc w:val="left"/>
              <w:rPr>
                <w:rFonts w:ascii="仿宋" w:hAnsi="仿宋" w:eastAsia="仿宋" w:cs="仿宋_GB2312"/>
                <w:sz w:val="22"/>
              </w:rPr>
            </w:pPr>
          </w:p>
        </w:tc>
        <w:tc>
          <w:tcPr>
            <w:tcW w:w="766" w:type="dxa"/>
            <w:tcBorders>
              <w:top w:val="single" w:color="auto" w:sz="4" w:space="0"/>
              <w:left w:val="nil"/>
              <w:bottom w:val="single" w:color="auto" w:sz="8" w:space="0"/>
              <w:right w:val="single" w:color="auto" w:sz="8" w:space="0"/>
            </w:tcBorders>
            <w:shd w:val="clear" w:color="000000" w:fill="auto"/>
            <w:vAlign w:val="center"/>
          </w:tcPr>
          <w:p w14:paraId="00984591">
            <w:pPr>
              <w:widowControl/>
              <w:shd w:val="clear"/>
              <w:jc w:val="center"/>
              <w:rPr>
                <w:rFonts w:ascii="仿宋" w:hAnsi="仿宋" w:eastAsia="仿宋" w:cs="仿宋_GB2312"/>
                <w:color w:val="000000" w:themeColor="text1"/>
                <w:sz w:val="22"/>
                <w14:textFill>
                  <w14:solidFill>
                    <w14:schemeClr w14:val="tx1"/>
                  </w14:solidFill>
                </w14:textFill>
              </w:rPr>
            </w:pPr>
            <w:r>
              <w:rPr>
                <w:rFonts w:ascii="仿宋" w:hAnsi="仿宋" w:eastAsia="仿宋" w:cs="仿宋_GB2312"/>
                <w:color w:val="000000" w:themeColor="text1"/>
                <w:sz w:val="22"/>
                <w14:textFill>
                  <w14:solidFill>
                    <w14:schemeClr w14:val="tx1"/>
                  </w14:solidFill>
                </w14:textFill>
              </w:rPr>
              <w:t>科研方案</w:t>
            </w:r>
          </w:p>
        </w:tc>
        <w:tc>
          <w:tcPr>
            <w:tcW w:w="737" w:type="dxa"/>
            <w:tcBorders>
              <w:top w:val="nil"/>
              <w:left w:val="nil"/>
              <w:bottom w:val="single" w:color="auto" w:sz="8" w:space="0"/>
              <w:right w:val="single" w:color="auto" w:sz="8" w:space="0"/>
            </w:tcBorders>
            <w:shd w:val="clear" w:color="000000" w:fill="auto"/>
            <w:vAlign w:val="center"/>
          </w:tcPr>
          <w:p w14:paraId="6D22F67D">
            <w:pPr>
              <w:widowControl/>
              <w:shd w:val="clear"/>
              <w:jc w:val="center"/>
              <w:rPr>
                <w:rFonts w:ascii="仿宋" w:hAnsi="仿宋" w:eastAsia="仿宋" w:cs="仿宋_GB2312"/>
                <w:color w:val="000000" w:themeColor="text1"/>
                <w:sz w:val="22"/>
                <w14:textFill>
                  <w14:solidFill>
                    <w14:schemeClr w14:val="tx1"/>
                  </w14:solidFill>
                </w14:textFill>
              </w:rPr>
            </w:pPr>
            <w:r>
              <w:rPr>
                <w:rFonts w:ascii="仿宋" w:hAnsi="仿宋" w:eastAsia="仿宋" w:cs="仿宋_GB2312"/>
                <w:color w:val="000000" w:themeColor="text1"/>
                <w:sz w:val="22"/>
                <w14:textFill>
                  <w14:solidFill>
                    <w14:schemeClr w14:val="tx1"/>
                  </w14:solidFill>
                </w14:textFill>
              </w:rPr>
              <w:t>3</w:t>
            </w:r>
          </w:p>
        </w:tc>
        <w:tc>
          <w:tcPr>
            <w:tcW w:w="4708" w:type="dxa"/>
            <w:tcBorders>
              <w:top w:val="nil"/>
              <w:left w:val="nil"/>
              <w:bottom w:val="single" w:color="auto" w:sz="8" w:space="0"/>
              <w:right w:val="single" w:color="auto" w:sz="8" w:space="0"/>
            </w:tcBorders>
            <w:shd w:val="clear" w:color="000000" w:fill="auto"/>
            <w:vAlign w:val="center"/>
          </w:tcPr>
          <w:p w14:paraId="33B2827A">
            <w:pPr>
              <w:shd w:val="clear"/>
              <w:adjustRightInd w:val="0"/>
              <w:snapToGrid w:val="0"/>
              <w:rPr>
                <w:rFonts w:ascii="仿宋" w:hAnsi="仿宋" w:eastAsia="仿宋" w:cs="仿宋_GB2312"/>
                <w:color w:val="000000" w:themeColor="text1"/>
                <w:sz w:val="22"/>
                <w14:textFill>
                  <w14:solidFill>
                    <w14:schemeClr w14:val="tx1"/>
                  </w14:solidFill>
                </w14:textFill>
              </w:rPr>
            </w:pPr>
            <w:r>
              <w:rPr>
                <w:rFonts w:hint="eastAsia" w:ascii="仿宋" w:hAnsi="仿宋" w:eastAsia="仿宋" w:cs="仿宋_GB2312"/>
                <w:color w:val="000000" w:themeColor="text1"/>
                <w:sz w:val="22"/>
                <w14:textFill>
                  <w14:solidFill>
                    <w14:schemeClr w14:val="tx1"/>
                  </w14:solidFill>
                </w14:textFill>
              </w:rPr>
              <w:t>提供一份协助医院开展的科研方案草案，包括以下内容：背景、研究内容、创新性、研究方案、技术路线；要求：根据可执行性、创新性、与医院学科建设的匹配性评分，总分3分，其中可执行性、创新性</w:t>
            </w:r>
            <w:r>
              <w:rPr>
                <w:rFonts w:ascii="仿宋" w:hAnsi="仿宋" w:eastAsia="仿宋" w:cs="仿宋_GB2312"/>
                <w:color w:val="000000" w:themeColor="text1"/>
                <w:sz w:val="22"/>
                <w14:textFill>
                  <w14:solidFill>
                    <w14:schemeClr w14:val="tx1"/>
                  </w14:solidFill>
                </w14:textFill>
              </w:rPr>
              <w:t>、</w:t>
            </w:r>
            <w:r>
              <w:rPr>
                <w:rFonts w:hint="eastAsia" w:ascii="仿宋" w:hAnsi="仿宋" w:eastAsia="仿宋" w:cs="仿宋_GB2312"/>
                <w:color w:val="000000" w:themeColor="text1"/>
                <w:sz w:val="22"/>
                <w14:textFill>
                  <w14:solidFill>
                    <w14:schemeClr w14:val="tx1"/>
                  </w14:solidFill>
                </w14:textFill>
              </w:rPr>
              <w:t>与医院学科建设的匹配性满分</w:t>
            </w:r>
            <w:r>
              <w:rPr>
                <w:rFonts w:ascii="仿宋" w:hAnsi="仿宋" w:eastAsia="仿宋" w:cs="仿宋_GB2312"/>
                <w:color w:val="000000" w:themeColor="text1"/>
                <w:sz w:val="22"/>
                <w14:textFill>
                  <w14:solidFill>
                    <w14:schemeClr w14:val="tx1"/>
                  </w14:solidFill>
                </w14:textFill>
              </w:rPr>
              <w:t>各</w:t>
            </w:r>
            <w:r>
              <w:rPr>
                <w:rFonts w:hint="eastAsia" w:ascii="仿宋" w:hAnsi="仿宋" w:eastAsia="仿宋" w:cs="仿宋_GB2312"/>
                <w:color w:val="000000" w:themeColor="text1"/>
                <w:sz w:val="22"/>
                <w14:textFill>
                  <w14:solidFill>
                    <w14:schemeClr w14:val="tx1"/>
                  </w14:solidFill>
                </w14:textFill>
              </w:rPr>
              <w:t>1分</w:t>
            </w:r>
            <w:r>
              <w:rPr>
                <w:rFonts w:ascii="仿宋" w:hAnsi="仿宋" w:eastAsia="仿宋" w:cs="仿宋_GB2312"/>
                <w:color w:val="000000" w:themeColor="text1"/>
                <w:sz w:val="22"/>
                <w14:textFill>
                  <w14:solidFill>
                    <w14:schemeClr w14:val="tx1"/>
                  </w14:solidFill>
                </w14:textFill>
              </w:rPr>
              <w:t>。</w:t>
            </w:r>
          </w:p>
        </w:tc>
        <w:tc>
          <w:tcPr>
            <w:tcW w:w="654" w:type="dxa"/>
            <w:tcBorders>
              <w:top w:val="nil"/>
              <w:left w:val="nil"/>
              <w:bottom w:val="single" w:color="auto" w:sz="8" w:space="0"/>
              <w:right w:val="single" w:color="auto" w:sz="8" w:space="0"/>
            </w:tcBorders>
            <w:shd w:val="clear" w:color="000000" w:fill="auto"/>
            <w:vAlign w:val="center"/>
          </w:tcPr>
          <w:p w14:paraId="62444395">
            <w:pPr>
              <w:widowControl/>
              <w:shd w:val="clear"/>
              <w:jc w:val="left"/>
              <w:rPr>
                <w:rFonts w:ascii="仿宋" w:hAnsi="仿宋" w:eastAsia="仿宋" w:cs="仿宋_GB2312"/>
                <w:sz w:val="22"/>
              </w:rPr>
            </w:pPr>
          </w:p>
        </w:tc>
        <w:tc>
          <w:tcPr>
            <w:tcW w:w="1723" w:type="dxa"/>
            <w:tcBorders>
              <w:top w:val="nil"/>
              <w:left w:val="nil"/>
              <w:bottom w:val="single" w:color="auto" w:sz="8" w:space="0"/>
              <w:right w:val="single" w:color="auto" w:sz="8" w:space="0"/>
            </w:tcBorders>
            <w:shd w:val="clear" w:color="000000" w:fill="auto"/>
          </w:tcPr>
          <w:p w14:paraId="6FE18CFC">
            <w:pPr>
              <w:widowControl/>
              <w:shd w:val="clear"/>
              <w:jc w:val="left"/>
              <w:rPr>
                <w:rFonts w:ascii="仿宋" w:hAnsi="仿宋" w:eastAsia="仿宋" w:cs="仿宋_GB2312"/>
                <w:sz w:val="22"/>
              </w:rPr>
            </w:pPr>
          </w:p>
        </w:tc>
      </w:tr>
    </w:tbl>
    <w:p w14:paraId="640E64EB">
      <w:pPr>
        <w:rPr>
          <w:rFonts w:hint="eastAsia" w:ascii="仿宋" w:hAnsi="仿宋" w:eastAsia="仿宋"/>
          <w:b/>
          <w:sz w:val="32"/>
          <w:szCs w:val="28"/>
        </w:rPr>
      </w:pPr>
    </w:p>
    <w:sectPr>
      <w:pgSz w:w="11906" w:h="16838"/>
      <w:pgMar w:top="1440" w:right="1797" w:bottom="1440" w:left="179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69DF0">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BA3559">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DBA3559">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2A2067"/>
    <w:multiLevelType w:val="singleLevel"/>
    <w:tmpl w:val="D02A2067"/>
    <w:lvl w:ilvl="0" w:tentative="0">
      <w:start w:val="1"/>
      <w:numFmt w:val="decimal"/>
      <w:suff w:val="nothing"/>
      <w:lvlText w:val="（%1）"/>
      <w:lvlJc w:val="left"/>
    </w:lvl>
  </w:abstractNum>
  <w:abstractNum w:abstractNumId="1">
    <w:nsid w:val="462C1C64"/>
    <w:multiLevelType w:val="singleLevel"/>
    <w:tmpl w:val="462C1C64"/>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2NGRhZTE4ZDQ1NWU0NTliNDQ5YTk5NzNjMzQ3MzEifQ=="/>
  </w:docVars>
  <w:rsids>
    <w:rsidRoot w:val="0084521A"/>
    <w:rsid w:val="0000187B"/>
    <w:rsid w:val="0000394B"/>
    <w:rsid w:val="00011D30"/>
    <w:rsid w:val="000127C8"/>
    <w:rsid w:val="00014C18"/>
    <w:rsid w:val="00023897"/>
    <w:rsid w:val="00023995"/>
    <w:rsid w:val="000309FD"/>
    <w:rsid w:val="00033DCD"/>
    <w:rsid w:val="00046C49"/>
    <w:rsid w:val="00046CCF"/>
    <w:rsid w:val="00056508"/>
    <w:rsid w:val="00060375"/>
    <w:rsid w:val="00071BBD"/>
    <w:rsid w:val="00071E3F"/>
    <w:rsid w:val="000736D6"/>
    <w:rsid w:val="00073BEF"/>
    <w:rsid w:val="000754AE"/>
    <w:rsid w:val="00075CC1"/>
    <w:rsid w:val="0007611E"/>
    <w:rsid w:val="00082792"/>
    <w:rsid w:val="00083723"/>
    <w:rsid w:val="0008442E"/>
    <w:rsid w:val="00090A87"/>
    <w:rsid w:val="00092ED7"/>
    <w:rsid w:val="0009763B"/>
    <w:rsid w:val="000A47ED"/>
    <w:rsid w:val="000A749D"/>
    <w:rsid w:val="000A76CE"/>
    <w:rsid w:val="000B08FF"/>
    <w:rsid w:val="000B0ED2"/>
    <w:rsid w:val="000B68BF"/>
    <w:rsid w:val="000B6CC8"/>
    <w:rsid w:val="000D0913"/>
    <w:rsid w:val="000D74CE"/>
    <w:rsid w:val="000D7BAC"/>
    <w:rsid w:val="000E2823"/>
    <w:rsid w:val="000E3B57"/>
    <w:rsid w:val="000E4D44"/>
    <w:rsid w:val="000E54C3"/>
    <w:rsid w:val="000E7125"/>
    <w:rsid w:val="000F6CD8"/>
    <w:rsid w:val="00107EB7"/>
    <w:rsid w:val="0011674C"/>
    <w:rsid w:val="001255F0"/>
    <w:rsid w:val="00126E49"/>
    <w:rsid w:val="001318A8"/>
    <w:rsid w:val="00132EED"/>
    <w:rsid w:val="00132F1A"/>
    <w:rsid w:val="0013420C"/>
    <w:rsid w:val="0014055D"/>
    <w:rsid w:val="00140A8E"/>
    <w:rsid w:val="001434E6"/>
    <w:rsid w:val="0014421D"/>
    <w:rsid w:val="00152D4B"/>
    <w:rsid w:val="001548FD"/>
    <w:rsid w:val="00154CE2"/>
    <w:rsid w:val="00164999"/>
    <w:rsid w:val="00165669"/>
    <w:rsid w:val="001723D2"/>
    <w:rsid w:val="00172458"/>
    <w:rsid w:val="00182835"/>
    <w:rsid w:val="00187E6D"/>
    <w:rsid w:val="001905B1"/>
    <w:rsid w:val="0019196E"/>
    <w:rsid w:val="00192463"/>
    <w:rsid w:val="00195331"/>
    <w:rsid w:val="00197205"/>
    <w:rsid w:val="001A1EF6"/>
    <w:rsid w:val="001A55B9"/>
    <w:rsid w:val="001A5868"/>
    <w:rsid w:val="001B308B"/>
    <w:rsid w:val="001B53BE"/>
    <w:rsid w:val="001B71D7"/>
    <w:rsid w:val="001C5C7E"/>
    <w:rsid w:val="001D49A2"/>
    <w:rsid w:val="001E018C"/>
    <w:rsid w:val="001E1BF7"/>
    <w:rsid w:val="001E2B5E"/>
    <w:rsid w:val="001E561A"/>
    <w:rsid w:val="001F30FE"/>
    <w:rsid w:val="002001E7"/>
    <w:rsid w:val="0020300C"/>
    <w:rsid w:val="00206D02"/>
    <w:rsid w:val="00214535"/>
    <w:rsid w:val="00221CAC"/>
    <w:rsid w:val="00224F12"/>
    <w:rsid w:val="002272FA"/>
    <w:rsid w:val="00227FE4"/>
    <w:rsid w:val="0023077B"/>
    <w:rsid w:val="0023148B"/>
    <w:rsid w:val="002326D5"/>
    <w:rsid w:val="00243688"/>
    <w:rsid w:val="0024527F"/>
    <w:rsid w:val="00255C14"/>
    <w:rsid w:val="00257001"/>
    <w:rsid w:val="00262065"/>
    <w:rsid w:val="002636DA"/>
    <w:rsid w:val="00272567"/>
    <w:rsid w:val="00273286"/>
    <w:rsid w:val="00276A25"/>
    <w:rsid w:val="0028032D"/>
    <w:rsid w:val="00281D1C"/>
    <w:rsid w:val="00283C4B"/>
    <w:rsid w:val="00285804"/>
    <w:rsid w:val="002908C7"/>
    <w:rsid w:val="00294602"/>
    <w:rsid w:val="00297619"/>
    <w:rsid w:val="002A7F02"/>
    <w:rsid w:val="002B3638"/>
    <w:rsid w:val="002C7803"/>
    <w:rsid w:val="002E1219"/>
    <w:rsid w:val="002E2320"/>
    <w:rsid w:val="002E23FC"/>
    <w:rsid w:val="002E5932"/>
    <w:rsid w:val="002F5161"/>
    <w:rsid w:val="002F5F8D"/>
    <w:rsid w:val="002F787A"/>
    <w:rsid w:val="00314264"/>
    <w:rsid w:val="0031470A"/>
    <w:rsid w:val="003161D6"/>
    <w:rsid w:val="00317C44"/>
    <w:rsid w:val="00321962"/>
    <w:rsid w:val="003240CB"/>
    <w:rsid w:val="00332D1D"/>
    <w:rsid w:val="00345009"/>
    <w:rsid w:val="00345B5F"/>
    <w:rsid w:val="00360E36"/>
    <w:rsid w:val="00361857"/>
    <w:rsid w:val="00363EF0"/>
    <w:rsid w:val="00364B82"/>
    <w:rsid w:val="00366CB8"/>
    <w:rsid w:val="00370B17"/>
    <w:rsid w:val="003737E8"/>
    <w:rsid w:val="00375116"/>
    <w:rsid w:val="003778A2"/>
    <w:rsid w:val="00382820"/>
    <w:rsid w:val="0038333E"/>
    <w:rsid w:val="00384425"/>
    <w:rsid w:val="0039122D"/>
    <w:rsid w:val="00391F88"/>
    <w:rsid w:val="00395107"/>
    <w:rsid w:val="003958B3"/>
    <w:rsid w:val="00396E5C"/>
    <w:rsid w:val="003974D7"/>
    <w:rsid w:val="003A0394"/>
    <w:rsid w:val="003A0935"/>
    <w:rsid w:val="003A5C36"/>
    <w:rsid w:val="003A774F"/>
    <w:rsid w:val="003B345E"/>
    <w:rsid w:val="003B5CBF"/>
    <w:rsid w:val="003B6A5A"/>
    <w:rsid w:val="003D4B34"/>
    <w:rsid w:val="003E051D"/>
    <w:rsid w:val="00401733"/>
    <w:rsid w:val="004020DF"/>
    <w:rsid w:val="00402A59"/>
    <w:rsid w:val="004044FC"/>
    <w:rsid w:val="00404F80"/>
    <w:rsid w:val="00405FF6"/>
    <w:rsid w:val="004146BE"/>
    <w:rsid w:val="00415D8E"/>
    <w:rsid w:val="00421B9D"/>
    <w:rsid w:val="004226CE"/>
    <w:rsid w:val="00423591"/>
    <w:rsid w:val="00424FBD"/>
    <w:rsid w:val="00425A6F"/>
    <w:rsid w:val="004300F0"/>
    <w:rsid w:val="004317B1"/>
    <w:rsid w:val="0043202B"/>
    <w:rsid w:val="0043432B"/>
    <w:rsid w:val="004346CD"/>
    <w:rsid w:val="00441B72"/>
    <w:rsid w:val="0044736E"/>
    <w:rsid w:val="004537D8"/>
    <w:rsid w:val="00455553"/>
    <w:rsid w:val="00455839"/>
    <w:rsid w:val="00455846"/>
    <w:rsid w:val="0045792A"/>
    <w:rsid w:val="00464C47"/>
    <w:rsid w:val="004717C2"/>
    <w:rsid w:val="0047308D"/>
    <w:rsid w:val="004738FD"/>
    <w:rsid w:val="00475A77"/>
    <w:rsid w:val="004771F8"/>
    <w:rsid w:val="004819AB"/>
    <w:rsid w:val="00481BCE"/>
    <w:rsid w:val="004A20ED"/>
    <w:rsid w:val="004A261B"/>
    <w:rsid w:val="004A6050"/>
    <w:rsid w:val="004A6EBE"/>
    <w:rsid w:val="004A779E"/>
    <w:rsid w:val="004B03D4"/>
    <w:rsid w:val="004B17DE"/>
    <w:rsid w:val="004B18F0"/>
    <w:rsid w:val="004B31D3"/>
    <w:rsid w:val="004C19CD"/>
    <w:rsid w:val="004C2A15"/>
    <w:rsid w:val="004C45FF"/>
    <w:rsid w:val="004C670A"/>
    <w:rsid w:val="004D0E64"/>
    <w:rsid w:val="004D119C"/>
    <w:rsid w:val="004D22FE"/>
    <w:rsid w:val="004D36F4"/>
    <w:rsid w:val="004D4518"/>
    <w:rsid w:val="004D5822"/>
    <w:rsid w:val="004E0496"/>
    <w:rsid w:val="004E730E"/>
    <w:rsid w:val="004F1BC4"/>
    <w:rsid w:val="00501498"/>
    <w:rsid w:val="00513FBC"/>
    <w:rsid w:val="00514BA5"/>
    <w:rsid w:val="00530D07"/>
    <w:rsid w:val="00531CF2"/>
    <w:rsid w:val="00532ED3"/>
    <w:rsid w:val="00535295"/>
    <w:rsid w:val="005365CC"/>
    <w:rsid w:val="00543621"/>
    <w:rsid w:val="00547B83"/>
    <w:rsid w:val="0055166A"/>
    <w:rsid w:val="0055318E"/>
    <w:rsid w:val="0055523C"/>
    <w:rsid w:val="005559F3"/>
    <w:rsid w:val="005703C1"/>
    <w:rsid w:val="00577FBE"/>
    <w:rsid w:val="00582F48"/>
    <w:rsid w:val="005840D3"/>
    <w:rsid w:val="00585E8B"/>
    <w:rsid w:val="00587477"/>
    <w:rsid w:val="005921C9"/>
    <w:rsid w:val="00594A48"/>
    <w:rsid w:val="005A215E"/>
    <w:rsid w:val="005A23C5"/>
    <w:rsid w:val="005A3BDE"/>
    <w:rsid w:val="005A5239"/>
    <w:rsid w:val="005B0821"/>
    <w:rsid w:val="005B2A38"/>
    <w:rsid w:val="005B3E04"/>
    <w:rsid w:val="005B60D1"/>
    <w:rsid w:val="005C061E"/>
    <w:rsid w:val="005C107B"/>
    <w:rsid w:val="005C44F9"/>
    <w:rsid w:val="005D038F"/>
    <w:rsid w:val="005D1184"/>
    <w:rsid w:val="005D6056"/>
    <w:rsid w:val="005E2458"/>
    <w:rsid w:val="005E4B93"/>
    <w:rsid w:val="005E4D12"/>
    <w:rsid w:val="005F2959"/>
    <w:rsid w:val="005F3624"/>
    <w:rsid w:val="005F77FA"/>
    <w:rsid w:val="00607599"/>
    <w:rsid w:val="006260A4"/>
    <w:rsid w:val="006269B5"/>
    <w:rsid w:val="00642685"/>
    <w:rsid w:val="0064389B"/>
    <w:rsid w:val="0065353E"/>
    <w:rsid w:val="006536F7"/>
    <w:rsid w:val="006537B0"/>
    <w:rsid w:val="0066679F"/>
    <w:rsid w:val="006760C3"/>
    <w:rsid w:val="00680A5B"/>
    <w:rsid w:val="0068675B"/>
    <w:rsid w:val="00693B15"/>
    <w:rsid w:val="00695316"/>
    <w:rsid w:val="0069544B"/>
    <w:rsid w:val="006A45E5"/>
    <w:rsid w:val="006A7211"/>
    <w:rsid w:val="006B7356"/>
    <w:rsid w:val="006C1C4C"/>
    <w:rsid w:val="006C2108"/>
    <w:rsid w:val="006D014E"/>
    <w:rsid w:val="006D2E06"/>
    <w:rsid w:val="006D5C76"/>
    <w:rsid w:val="006E0014"/>
    <w:rsid w:val="006E179D"/>
    <w:rsid w:val="006E50F8"/>
    <w:rsid w:val="006E5DAD"/>
    <w:rsid w:val="006E6871"/>
    <w:rsid w:val="00704712"/>
    <w:rsid w:val="00706F09"/>
    <w:rsid w:val="007121C1"/>
    <w:rsid w:val="007172A7"/>
    <w:rsid w:val="0072255E"/>
    <w:rsid w:val="0073266D"/>
    <w:rsid w:val="00734ADE"/>
    <w:rsid w:val="007402D5"/>
    <w:rsid w:val="00740719"/>
    <w:rsid w:val="007417B8"/>
    <w:rsid w:val="00747A68"/>
    <w:rsid w:val="00747ED0"/>
    <w:rsid w:val="007519CB"/>
    <w:rsid w:val="00763823"/>
    <w:rsid w:val="00763923"/>
    <w:rsid w:val="00770A52"/>
    <w:rsid w:val="00772951"/>
    <w:rsid w:val="007823BF"/>
    <w:rsid w:val="0078697F"/>
    <w:rsid w:val="00791D6E"/>
    <w:rsid w:val="0079318D"/>
    <w:rsid w:val="007932E9"/>
    <w:rsid w:val="007A329D"/>
    <w:rsid w:val="007A4841"/>
    <w:rsid w:val="007B2080"/>
    <w:rsid w:val="007B4EBE"/>
    <w:rsid w:val="007B5253"/>
    <w:rsid w:val="007C0249"/>
    <w:rsid w:val="007C213B"/>
    <w:rsid w:val="007C7883"/>
    <w:rsid w:val="007D1FAB"/>
    <w:rsid w:val="007D3FFF"/>
    <w:rsid w:val="007D4279"/>
    <w:rsid w:val="007D6669"/>
    <w:rsid w:val="007D71A2"/>
    <w:rsid w:val="007D7DB5"/>
    <w:rsid w:val="007E2F1A"/>
    <w:rsid w:val="007E5A70"/>
    <w:rsid w:val="007E5B1E"/>
    <w:rsid w:val="007F08DB"/>
    <w:rsid w:val="007F08EF"/>
    <w:rsid w:val="007F0F67"/>
    <w:rsid w:val="007F17E0"/>
    <w:rsid w:val="007F5D26"/>
    <w:rsid w:val="00801655"/>
    <w:rsid w:val="008060B2"/>
    <w:rsid w:val="00812813"/>
    <w:rsid w:val="00813F8F"/>
    <w:rsid w:val="008156EC"/>
    <w:rsid w:val="008170FE"/>
    <w:rsid w:val="00821148"/>
    <w:rsid w:val="0082361E"/>
    <w:rsid w:val="008238AF"/>
    <w:rsid w:val="00824A7C"/>
    <w:rsid w:val="00825B10"/>
    <w:rsid w:val="008263B1"/>
    <w:rsid w:val="00835508"/>
    <w:rsid w:val="008411C3"/>
    <w:rsid w:val="0084521A"/>
    <w:rsid w:val="00845786"/>
    <w:rsid w:val="00845F41"/>
    <w:rsid w:val="00846033"/>
    <w:rsid w:val="0085671A"/>
    <w:rsid w:val="00857E3D"/>
    <w:rsid w:val="00857F62"/>
    <w:rsid w:val="00864669"/>
    <w:rsid w:val="00865FBC"/>
    <w:rsid w:val="00867743"/>
    <w:rsid w:val="0087633A"/>
    <w:rsid w:val="008778EE"/>
    <w:rsid w:val="00881006"/>
    <w:rsid w:val="00882882"/>
    <w:rsid w:val="008907C1"/>
    <w:rsid w:val="0089284D"/>
    <w:rsid w:val="008939B4"/>
    <w:rsid w:val="00894D81"/>
    <w:rsid w:val="008A021E"/>
    <w:rsid w:val="008A0478"/>
    <w:rsid w:val="008A2F70"/>
    <w:rsid w:val="008A5096"/>
    <w:rsid w:val="008B23AC"/>
    <w:rsid w:val="008B333B"/>
    <w:rsid w:val="008B5602"/>
    <w:rsid w:val="008D264E"/>
    <w:rsid w:val="008D3C73"/>
    <w:rsid w:val="008D561D"/>
    <w:rsid w:val="008E638E"/>
    <w:rsid w:val="008E6EDB"/>
    <w:rsid w:val="008F1AAA"/>
    <w:rsid w:val="008F4668"/>
    <w:rsid w:val="008F6F23"/>
    <w:rsid w:val="009028E1"/>
    <w:rsid w:val="00904EB4"/>
    <w:rsid w:val="00906CE5"/>
    <w:rsid w:val="00911ADE"/>
    <w:rsid w:val="0091210C"/>
    <w:rsid w:val="00912BED"/>
    <w:rsid w:val="00913E7D"/>
    <w:rsid w:val="009201BE"/>
    <w:rsid w:val="009249F2"/>
    <w:rsid w:val="00926E07"/>
    <w:rsid w:val="00932A33"/>
    <w:rsid w:val="00942A2E"/>
    <w:rsid w:val="00942DEB"/>
    <w:rsid w:val="00952C1A"/>
    <w:rsid w:val="009605D9"/>
    <w:rsid w:val="0096575D"/>
    <w:rsid w:val="0097249C"/>
    <w:rsid w:val="00973107"/>
    <w:rsid w:val="009769ED"/>
    <w:rsid w:val="00977E81"/>
    <w:rsid w:val="00983210"/>
    <w:rsid w:val="00984320"/>
    <w:rsid w:val="009912F5"/>
    <w:rsid w:val="00995244"/>
    <w:rsid w:val="00995FD1"/>
    <w:rsid w:val="009B39E4"/>
    <w:rsid w:val="009B435E"/>
    <w:rsid w:val="009C32A3"/>
    <w:rsid w:val="009D3B15"/>
    <w:rsid w:val="009E413E"/>
    <w:rsid w:val="009E5F78"/>
    <w:rsid w:val="009E7BE3"/>
    <w:rsid w:val="009F4451"/>
    <w:rsid w:val="00A0239B"/>
    <w:rsid w:val="00A16B11"/>
    <w:rsid w:val="00A16FCB"/>
    <w:rsid w:val="00A226E9"/>
    <w:rsid w:val="00A22C4A"/>
    <w:rsid w:val="00A22E04"/>
    <w:rsid w:val="00A27FBB"/>
    <w:rsid w:val="00A30DCE"/>
    <w:rsid w:val="00A44373"/>
    <w:rsid w:val="00A4480E"/>
    <w:rsid w:val="00A45166"/>
    <w:rsid w:val="00A510F4"/>
    <w:rsid w:val="00A54E9E"/>
    <w:rsid w:val="00A57488"/>
    <w:rsid w:val="00A578F6"/>
    <w:rsid w:val="00A624B4"/>
    <w:rsid w:val="00A64CE0"/>
    <w:rsid w:val="00A65D84"/>
    <w:rsid w:val="00A663B5"/>
    <w:rsid w:val="00A713E2"/>
    <w:rsid w:val="00A73580"/>
    <w:rsid w:val="00A8650A"/>
    <w:rsid w:val="00A918C6"/>
    <w:rsid w:val="00A96658"/>
    <w:rsid w:val="00AA0066"/>
    <w:rsid w:val="00AA79AE"/>
    <w:rsid w:val="00AC172F"/>
    <w:rsid w:val="00AD419C"/>
    <w:rsid w:val="00AD7E1A"/>
    <w:rsid w:val="00AE1241"/>
    <w:rsid w:val="00AE362E"/>
    <w:rsid w:val="00AE6666"/>
    <w:rsid w:val="00AF4CC2"/>
    <w:rsid w:val="00AF5B55"/>
    <w:rsid w:val="00AF65B6"/>
    <w:rsid w:val="00B01940"/>
    <w:rsid w:val="00B05015"/>
    <w:rsid w:val="00B0643E"/>
    <w:rsid w:val="00B24215"/>
    <w:rsid w:val="00B24C25"/>
    <w:rsid w:val="00B26C14"/>
    <w:rsid w:val="00B36590"/>
    <w:rsid w:val="00B36AB5"/>
    <w:rsid w:val="00B3791F"/>
    <w:rsid w:val="00B403B2"/>
    <w:rsid w:val="00B421C9"/>
    <w:rsid w:val="00B447E9"/>
    <w:rsid w:val="00B46D60"/>
    <w:rsid w:val="00B472DF"/>
    <w:rsid w:val="00B5403F"/>
    <w:rsid w:val="00B54651"/>
    <w:rsid w:val="00B54F4B"/>
    <w:rsid w:val="00B7224F"/>
    <w:rsid w:val="00B72D0F"/>
    <w:rsid w:val="00B72F28"/>
    <w:rsid w:val="00B770B8"/>
    <w:rsid w:val="00B808EC"/>
    <w:rsid w:val="00B81005"/>
    <w:rsid w:val="00B93430"/>
    <w:rsid w:val="00B95247"/>
    <w:rsid w:val="00BA013F"/>
    <w:rsid w:val="00BB30BF"/>
    <w:rsid w:val="00BB473F"/>
    <w:rsid w:val="00BB6A33"/>
    <w:rsid w:val="00BB710E"/>
    <w:rsid w:val="00BB7B44"/>
    <w:rsid w:val="00BC3A64"/>
    <w:rsid w:val="00BC3ABE"/>
    <w:rsid w:val="00BC70D9"/>
    <w:rsid w:val="00BC728E"/>
    <w:rsid w:val="00BD21FA"/>
    <w:rsid w:val="00BD4558"/>
    <w:rsid w:val="00BE2EC9"/>
    <w:rsid w:val="00BE73C7"/>
    <w:rsid w:val="00BF349F"/>
    <w:rsid w:val="00BF4CC0"/>
    <w:rsid w:val="00BF5B24"/>
    <w:rsid w:val="00BF618B"/>
    <w:rsid w:val="00C02BF8"/>
    <w:rsid w:val="00C07A1A"/>
    <w:rsid w:val="00C14DCF"/>
    <w:rsid w:val="00C16DDA"/>
    <w:rsid w:val="00C21D60"/>
    <w:rsid w:val="00C23FA2"/>
    <w:rsid w:val="00C303E9"/>
    <w:rsid w:val="00C34EE5"/>
    <w:rsid w:val="00C36826"/>
    <w:rsid w:val="00C40217"/>
    <w:rsid w:val="00C44CC3"/>
    <w:rsid w:val="00C4764A"/>
    <w:rsid w:val="00C556E6"/>
    <w:rsid w:val="00C67B7D"/>
    <w:rsid w:val="00C7505A"/>
    <w:rsid w:val="00C7700E"/>
    <w:rsid w:val="00C82298"/>
    <w:rsid w:val="00C828E7"/>
    <w:rsid w:val="00C839EF"/>
    <w:rsid w:val="00C865B4"/>
    <w:rsid w:val="00C90C1D"/>
    <w:rsid w:val="00C913CB"/>
    <w:rsid w:val="00C9436F"/>
    <w:rsid w:val="00CA0C8A"/>
    <w:rsid w:val="00CA3A05"/>
    <w:rsid w:val="00CA3B2C"/>
    <w:rsid w:val="00CA4D57"/>
    <w:rsid w:val="00CA7277"/>
    <w:rsid w:val="00CA7E61"/>
    <w:rsid w:val="00CC601F"/>
    <w:rsid w:val="00CD2C5F"/>
    <w:rsid w:val="00CD34BD"/>
    <w:rsid w:val="00CD39BF"/>
    <w:rsid w:val="00CD3A01"/>
    <w:rsid w:val="00CD6CC5"/>
    <w:rsid w:val="00CE0FCA"/>
    <w:rsid w:val="00CE1B78"/>
    <w:rsid w:val="00CE5331"/>
    <w:rsid w:val="00CE6204"/>
    <w:rsid w:val="00CE7345"/>
    <w:rsid w:val="00D00873"/>
    <w:rsid w:val="00D02294"/>
    <w:rsid w:val="00D065A7"/>
    <w:rsid w:val="00D07855"/>
    <w:rsid w:val="00D144DE"/>
    <w:rsid w:val="00D1696E"/>
    <w:rsid w:val="00D200A5"/>
    <w:rsid w:val="00D2370C"/>
    <w:rsid w:val="00D244B9"/>
    <w:rsid w:val="00D31ED7"/>
    <w:rsid w:val="00D32044"/>
    <w:rsid w:val="00D32D8A"/>
    <w:rsid w:val="00D3582A"/>
    <w:rsid w:val="00D37643"/>
    <w:rsid w:val="00D41B97"/>
    <w:rsid w:val="00D4321C"/>
    <w:rsid w:val="00D50F88"/>
    <w:rsid w:val="00D53882"/>
    <w:rsid w:val="00D551C7"/>
    <w:rsid w:val="00D60D24"/>
    <w:rsid w:val="00D643B1"/>
    <w:rsid w:val="00D6732D"/>
    <w:rsid w:val="00D7249A"/>
    <w:rsid w:val="00D74AB1"/>
    <w:rsid w:val="00D751A1"/>
    <w:rsid w:val="00D835B2"/>
    <w:rsid w:val="00D91F69"/>
    <w:rsid w:val="00DA38CB"/>
    <w:rsid w:val="00DA40BB"/>
    <w:rsid w:val="00DB21ED"/>
    <w:rsid w:val="00DB26A9"/>
    <w:rsid w:val="00DB4267"/>
    <w:rsid w:val="00DB6AFD"/>
    <w:rsid w:val="00DC1079"/>
    <w:rsid w:val="00DC1868"/>
    <w:rsid w:val="00DC291C"/>
    <w:rsid w:val="00DC5FE6"/>
    <w:rsid w:val="00DD154D"/>
    <w:rsid w:val="00DD5B62"/>
    <w:rsid w:val="00DD698B"/>
    <w:rsid w:val="00DD6D84"/>
    <w:rsid w:val="00DE2B90"/>
    <w:rsid w:val="00DE3F34"/>
    <w:rsid w:val="00DE66F0"/>
    <w:rsid w:val="00DF20F4"/>
    <w:rsid w:val="00DF371A"/>
    <w:rsid w:val="00DF6138"/>
    <w:rsid w:val="00DF6806"/>
    <w:rsid w:val="00E04CD9"/>
    <w:rsid w:val="00E15836"/>
    <w:rsid w:val="00E20830"/>
    <w:rsid w:val="00E22372"/>
    <w:rsid w:val="00E223D3"/>
    <w:rsid w:val="00E258E1"/>
    <w:rsid w:val="00E41557"/>
    <w:rsid w:val="00E4756E"/>
    <w:rsid w:val="00E51D7A"/>
    <w:rsid w:val="00E534BC"/>
    <w:rsid w:val="00E54797"/>
    <w:rsid w:val="00E6017F"/>
    <w:rsid w:val="00E63BB1"/>
    <w:rsid w:val="00E73CF3"/>
    <w:rsid w:val="00E80084"/>
    <w:rsid w:val="00E84640"/>
    <w:rsid w:val="00E84F1F"/>
    <w:rsid w:val="00E862D2"/>
    <w:rsid w:val="00E8630A"/>
    <w:rsid w:val="00E866E3"/>
    <w:rsid w:val="00E919AE"/>
    <w:rsid w:val="00E95FB2"/>
    <w:rsid w:val="00EB34EB"/>
    <w:rsid w:val="00EB4E70"/>
    <w:rsid w:val="00EC03BA"/>
    <w:rsid w:val="00EC371A"/>
    <w:rsid w:val="00EC4CA5"/>
    <w:rsid w:val="00ED1F86"/>
    <w:rsid w:val="00ED489F"/>
    <w:rsid w:val="00ED5D99"/>
    <w:rsid w:val="00ED72AF"/>
    <w:rsid w:val="00EF013A"/>
    <w:rsid w:val="00EF1249"/>
    <w:rsid w:val="00EF1900"/>
    <w:rsid w:val="00EF36A5"/>
    <w:rsid w:val="00F10F55"/>
    <w:rsid w:val="00F16153"/>
    <w:rsid w:val="00F2269D"/>
    <w:rsid w:val="00F24617"/>
    <w:rsid w:val="00F248D9"/>
    <w:rsid w:val="00F267A0"/>
    <w:rsid w:val="00F317C3"/>
    <w:rsid w:val="00F464BA"/>
    <w:rsid w:val="00F513DE"/>
    <w:rsid w:val="00F54B58"/>
    <w:rsid w:val="00F56943"/>
    <w:rsid w:val="00F601E5"/>
    <w:rsid w:val="00F602A3"/>
    <w:rsid w:val="00F623A4"/>
    <w:rsid w:val="00F6481A"/>
    <w:rsid w:val="00F903D8"/>
    <w:rsid w:val="00F916C7"/>
    <w:rsid w:val="00F93F51"/>
    <w:rsid w:val="00FA0946"/>
    <w:rsid w:val="00FA2FC4"/>
    <w:rsid w:val="00FA46E5"/>
    <w:rsid w:val="00FB2A50"/>
    <w:rsid w:val="00FB3011"/>
    <w:rsid w:val="00FB5982"/>
    <w:rsid w:val="00FC152A"/>
    <w:rsid w:val="00FD6579"/>
    <w:rsid w:val="00FE06C1"/>
    <w:rsid w:val="00FE2CBA"/>
    <w:rsid w:val="00FE3E90"/>
    <w:rsid w:val="00FF7D25"/>
    <w:rsid w:val="013219C8"/>
    <w:rsid w:val="01AE15BA"/>
    <w:rsid w:val="022C0730"/>
    <w:rsid w:val="02B25B77"/>
    <w:rsid w:val="02D04D52"/>
    <w:rsid w:val="044516F7"/>
    <w:rsid w:val="065917A1"/>
    <w:rsid w:val="068A4895"/>
    <w:rsid w:val="07865CC1"/>
    <w:rsid w:val="08B12BD3"/>
    <w:rsid w:val="090917E1"/>
    <w:rsid w:val="09106A69"/>
    <w:rsid w:val="09D03E26"/>
    <w:rsid w:val="09EE37F9"/>
    <w:rsid w:val="0AC21C32"/>
    <w:rsid w:val="0AD777BB"/>
    <w:rsid w:val="0AF93291"/>
    <w:rsid w:val="0C3D1EB8"/>
    <w:rsid w:val="0C801DA5"/>
    <w:rsid w:val="0CB40DE6"/>
    <w:rsid w:val="0D0D639A"/>
    <w:rsid w:val="0D4B59D5"/>
    <w:rsid w:val="0D4D6A8C"/>
    <w:rsid w:val="0D5B6275"/>
    <w:rsid w:val="0E4868F2"/>
    <w:rsid w:val="0EC10A41"/>
    <w:rsid w:val="0EC61D01"/>
    <w:rsid w:val="0F19286B"/>
    <w:rsid w:val="0F662CE2"/>
    <w:rsid w:val="0FE11533"/>
    <w:rsid w:val="10A31851"/>
    <w:rsid w:val="10B22749"/>
    <w:rsid w:val="10B30F68"/>
    <w:rsid w:val="11403123"/>
    <w:rsid w:val="12244F80"/>
    <w:rsid w:val="12485112"/>
    <w:rsid w:val="129B01A8"/>
    <w:rsid w:val="135103B7"/>
    <w:rsid w:val="13A659AB"/>
    <w:rsid w:val="146A0021"/>
    <w:rsid w:val="14E81685"/>
    <w:rsid w:val="156D00FF"/>
    <w:rsid w:val="159F500E"/>
    <w:rsid w:val="15B036FB"/>
    <w:rsid w:val="174D31CB"/>
    <w:rsid w:val="17A56CAE"/>
    <w:rsid w:val="182C48E3"/>
    <w:rsid w:val="184C1E5E"/>
    <w:rsid w:val="186175D4"/>
    <w:rsid w:val="194062FB"/>
    <w:rsid w:val="198361A7"/>
    <w:rsid w:val="1A2B77F4"/>
    <w:rsid w:val="1AB36AD5"/>
    <w:rsid w:val="1B5E59A7"/>
    <w:rsid w:val="1B783377"/>
    <w:rsid w:val="1B9A2198"/>
    <w:rsid w:val="1BE3708C"/>
    <w:rsid w:val="1C080CFB"/>
    <w:rsid w:val="1C393D1E"/>
    <w:rsid w:val="1D2B664D"/>
    <w:rsid w:val="1D77071A"/>
    <w:rsid w:val="1DDA0EB6"/>
    <w:rsid w:val="1E55507B"/>
    <w:rsid w:val="1ED61CF8"/>
    <w:rsid w:val="1F0617AF"/>
    <w:rsid w:val="1F9F2057"/>
    <w:rsid w:val="1FC20CFF"/>
    <w:rsid w:val="20296706"/>
    <w:rsid w:val="204C362A"/>
    <w:rsid w:val="20C368F8"/>
    <w:rsid w:val="211E7B23"/>
    <w:rsid w:val="21336A03"/>
    <w:rsid w:val="21503898"/>
    <w:rsid w:val="21991621"/>
    <w:rsid w:val="225E4AC7"/>
    <w:rsid w:val="22E14319"/>
    <w:rsid w:val="232F02A4"/>
    <w:rsid w:val="25F8534E"/>
    <w:rsid w:val="27363334"/>
    <w:rsid w:val="27533EE6"/>
    <w:rsid w:val="286640ED"/>
    <w:rsid w:val="286D5C93"/>
    <w:rsid w:val="29CA26C7"/>
    <w:rsid w:val="29EC4C3C"/>
    <w:rsid w:val="2AA40CE7"/>
    <w:rsid w:val="2AB071E6"/>
    <w:rsid w:val="2AB71FB6"/>
    <w:rsid w:val="2B3763B3"/>
    <w:rsid w:val="2BA07916"/>
    <w:rsid w:val="2BD30E9C"/>
    <w:rsid w:val="2BD630A1"/>
    <w:rsid w:val="2C3F2356"/>
    <w:rsid w:val="2CB76CC5"/>
    <w:rsid w:val="2CCA6A56"/>
    <w:rsid w:val="2D436988"/>
    <w:rsid w:val="2E920B22"/>
    <w:rsid w:val="2F643C4E"/>
    <w:rsid w:val="30D640C7"/>
    <w:rsid w:val="322E4844"/>
    <w:rsid w:val="33092244"/>
    <w:rsid w:val="33D95773"/>
    <w:rsid w:val="33FE18E2"/>
    <w:rsid w:val="3489489A"/>
    <w:rsid w:val="350C467A"/>
    <w:rsid w:val="35106D39"/>
    <w:rsid w:val="35853A9F"/>
    <w:rsid w:val="358E7516"/>
    <w:rsid w:val="35DD09B5"/>
    <w:rsid w:val="36406C01"/>
    <w:rsid w:val="36D52B69"/>
    <w:rsid w:val="371D6D4D"/>
    <w:rsid w:val="374C704E"/>
    <w:rsid w:val="3787194D"/>
    <w:rsid w:val="378816EF"/>
    <w:rsid w:val="383051EC"/>
    <w:rsid w:val="392C4B7E"/>
    <w:rsid w:val="394C64E9"/>
    <w:rsid w:val="396A15C3"/>
    <w:rsid w:val="3B32271F"/>
    <w:rsid w:val="3B84310D"/>
    <w:rsid w:val="3BAA6D17"/>
    <w:rsid w:val="3C676D43"/>
    <w:rsid w:val="3CEA420A"/>
    <w:rsid w:val="3CEE1D4C"/>
    <w:rsid w:val="3DA908AC"/>
    <w:rsid w:val="3DCC55BB"/>
    <w:rsid w:val="3F5D2B3A"/>
    <w:rsid w:val="3F9F4367"/>
    <w:rsid w:val="3FBB48C6"/>
    <w:rsid w:val="3FE0432D"/>
    <w:rsid w:val="3FFC1167"/>
    <w:rsid w:val="40270DAD"/>
    <w:rsid w:val="40955117"/>
    <w:rsid w:val="412C40D1"/>
    <w:rsid w:val="413C37E5"/>
    <w:rsid w:val="435C657B"/>
    <w:rsid w:val="445E4006"/>
    <w:rsid w:val="452E25E2"/>
    <w:rsid w:val="453B46DA"/>
    <w:rsid w:val="458D77A6"/>
    <w:rsid w:val="459D541B"/>
    <w:rsid w:val="45AC0314"/>
    <w:rsid w:val="4608590C"/>
    <w:rsid w:val="4621793D"/>
    <w:rsid w:val="462A4554"/>
    <w:rsid w:val="46767799"/>
    <w:rsid w:val="46A77952"/>
    <w:rsid w:val="479240E4"/>
    <w:rsid w:val="48387928"/>
    <w:rsid w:val="487A3C34"/>
    <w:rsid w:val="49C02229"/>
    <w:rsid w:val="4B3612CD"/>
    <w:rsid w:val="4B466FC9"/>
    <w:rsid w:val="4D001B6A"/>
    <w:rsid w:val="4D761E2D"/>
    <w:rsid w:val="4D875AEF"/>
    <w:rsid w:val="4DF71675"/>
    <w:rsid w:val="4E4A7541"/>
    <w:rsid w:val="4E6E7530"/>
    <w:rsid w:val="4E6F0C06"/>
    <w:rsid w:val="51290E9D"/>
    <w:rsid w:val="52024F4A"/>
    <w:rsid w:val="521C7D39"/>
    <w:rsid w:val="52725202"/>
    <w:rsid w:val="53184E30"/>
    <w:rsid w:val="5336549F"/>
    <w:rsid w:val="557A2C1D"/>
    <w:rsid w:val="5587107B"/>
    <w:rsid w:val="55BF6A67"/>
    <w:rsid w:val="560C305F"/>
    <w:rsid w:val="576B0616"/>
    <w:rsid w:val="57BB325E"/>
    <w:rsid w:val="57D63138"/>
    <w:rsid w:val="58110BCB"/>
    <w:rsid w:val="58D603B7"/>
    <w:rsid w:val="58FF4954"/>
    <w:rsid w:val="59EE3C8E"/>
    <w:rsid w:val="5B5E0F00"/>
    <w:rsid w:val="5B8560DB"/>
    <w:rsid w:val="5D6705E7"/>
    <w:rsid w:val="5DDE0EF2"/>
    <w:rsid w:val="5E532442"/>
    <w:rsid w:val="5E8F3D62"/>
    <w:rsid w:val="5EF02608"/>
    <w:rsid w:val="5F174C09"/>
    <w:rsid w:val="5F213199"/>
    <w:rsid w:val="5F2E3793"/>
    <w:rsid w:val="60470FEA"/>
    <w:rsid w:val="608E59B3"/>
    <w:rsid w:val="608F7035"/>
    <w:rsid w:val="61A6391B"/>
    <w:rsid w:val="61E723CC"/>
    <w:rsid w:val="61F04C31"/>
    <w:rsid w:val="621C1D54"/>
    <w:rsid w:val="62785FB1"/>
    <w:rsid w:val="62C377FD"/>
    <w:rsid w:val="62C61B62"/>
    <w:rsid w:val="631A75CF"/>
    <w:rsid w:val="637D216D"/>
    <w:rsid w:val="63CB4828"/>
    <w:rsid w:val="655B26C1"/>
    <w:rsid w:val="65983C87"/>
    <w:rsid w:val="66B44169"/>
    <w:rsid w:val="672572C9"/>
    <w:rsid w:val="67FC610F"/>
    <w:rsid w:val="6A372895"/>
    <w:rsid w:val="6AC76FA1"/>
    <w:rsid w:val="6B43169D"/>
    <w:rsid w:val="6BEF7107"/>
    <w:rsid w:val="6C66644F"/>
    <w:rsid w:val="6C830396"/>
    <w:rsid w:val="6C8C675E"/>
    <w:rsid w:val="6C8D626A"/>
    <w:rsid w:val="6D732880"/>
    <w:rsid w:val="6E362785"/>
    <w:rsid w:val="6F1E2035"/>
    <w:rsid w:val="6FA24510"/>
    <w:rsid w:val="701D28B0"/>
    <w:rsid w:val="7148086A"/>
    <w:rsid w:val="71AE3117"/>
    <w:rsid w:val="73EF0213"/>
    <w:rsid w:val="74161AF0"/>
    <w:rsid w:val="7478299F"/>
    <w:rsid w:val="748950FC"/>
    <w:rsid w:val="7571237D"/>
    <w:rsid w:val="75A45B38"/>
    <w:rsid w:val="75C97621"/>
    <w:rsid w:val="766537ED"/>
    <w:rsid w:val="767710B2"/>
    <w:rsid w:val="768F7938"/>
    <w:rsid w:val="773405DA"/>
    <w:rsid w:val="775F36A1"/>
    <w:rsid w:val="77955421"/>
    <w:rsid w:val="77C95EEC"/>
    <w:rsid w:val="781E1859"/>
    <w:rsid w:val="789D7585"/>
    <w:rsid w:val="78D22FF2"/>
    <w:rsid w:val="791473AE"/>
    <w:rsid w:val="793F6063"/>
    <w:rsid w:val="79984985"/>
    <w:rsid w:val="79996D18"/>
    <w:rsid w:val="79B83691"/>
    <w:rsid w:val="7A4E0664"/>
    <w:rsid w:val="7AD47607"/>
    <w:rsid w:val="7ADC2D9C"/>
    <w:rsid w:val="7B96182F"/>
    <w:rsid w:val="7C6333F8"/>
    <w:rsid w:val="7CBE4869"/>
    <w:rsid w:val="7CC35590"/>
    <w:rsid w:val="7CE12914"/>
    <w:rsid w:val="7DC01526"/>
    <w:rsid w:val="7E394D59"/>
    <w:rsid w:val="7EC363D0"/>
    <w:rsid w:val="7F840255"/>
    <w:rsid w:val="7FA75CF2"/>
    <w:rsid w:val="7FE900B8"/>
    <w:rsid w:val="7FFE6A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4">
    <w:name w:val="heading 2"/>
    <w:basedOn w:val="1"/>
    <w:next w:val="1"/>
    <w:autoRedefine/>
    <w:qFormat/>
    <w:uiPriority w:val="99"/>
    <w:pPr>
      <w:keepNext/>
      <w:keepLines/>
      <w:spacing w:beforeLines="100" w:afterLines="100"/>
      <w:jc w:val="center"/>
      <w:outlineLvl w:val="1"/>
    </w:pPr>
    <w:rPr>
      <w:rFonts w:ascii="Arial" w:hAnsi="Arial" w:eastAsia="黑体"/>
      <w:b/>
      <w:bCs/>
      <w:sz w:val="30"/>
      <w:szCs w:val="32"/>
    </w:rPr>
  </w:style>
  <w:style w:type="character" w:default="1" w:styleId="19">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semiHidden/>
    <w:unhideWhenUsed/>
    <w:qFormat/>
    <w:uiPriority w:val="99"/>
    <w:pPr>
      <w:spacing w:after="120"/>
    </w:pPr>
  </w:style>
  <w:style w:type="paragraph" w:styleId="5">
    <w:name w:val="Normal Indent"/>
    <w:basedOn w:val="1"/>
    <w:autoRedefine/>
    <w:qFormat/>
    <w:uiPriority w:val="0"/>
    <w:pPr>
      <w:ind w:firstLine="420"/>
    </w:pPr>
    <w:rPr>
      <w:rFonts w:ascii="Times New Roman"/>
    </w:rPr>
  </w:style>
  <w:style w:type="paragraph" w:styleId="6">
    <w:name w:val="annotation text"/>
    <w:basedOn w:val="1"/>
    <w:link w:val="27"/>
    <w:autoRedefine/>
    <w:semiHidden/>
    <w:unhideWhenUsed/>
    <w:qFormat/>
    <w:uiPriority w:val="99"/>
    <w:pPr>
      <w:jc w:val="left"/>
    </w:pPr>
  </w:style>
  <w:style w:type="paragraph" w:styleId="7">
    <w:name w:val="Body Text Indent"/>
    <w:basedOn w:val="1"/>
    <w:autoRedefine/>
    <w:qFormat/>
    <w:uiPriority w:val="0"/>
    <w:pPr>
      <w:ind w:firstLine="660"/>
    </w:pPr>
    <w:rPr>
      <w:rFonts w:ascii="宋体" w:hAnsi="宋体"/>
      <w:color w:val="000000"/>
      <w:kern w:val="0"/>
      <w:sz w:val="24"/>
      <w:szCs w:val="24"/>
    </w:rPr>
  </w:style>
  <w:style w:type="paragraph" w:styleId="8">
    <w:name w:val="Plain Text"/>
    <w:basedOn w:val="1"/>
    <w:autoRedefine/>
    <w:unhideWhenUsed/>
    <w:qFormat/>
    <w:uiPriority w:val="99"/>
    <w:rPr>
      <w:rFonts w:ascii="宋体" w:hAnsi="Courier New" w:eastAsia="宋体"/>
    </w:rPr>
  </w:style>
  <w:style w:type="paragraph" w:styleId="9">
    <w:name w:val="Date"/>
    <w:basedOn w:val="1"/>
    <w:next w:val="1"/>
    <w:link w:val="30"/>
    <w:autoRedefine/>
    <w:semiHidden/>
    <w:unhideWhenUsed/>
    <w:qFormat/>
    <w:uiPriority w:val="99"/>
    <w:pPr>
      <w:ind w:left="100" w:leftChars="2500"/>
    </w:pPr>
  </w:style>
  <w:style w:type="paragraph" w:styleId="10">
    <w:name w:val="Balloon Text"/>
    <w:basedOn w:val="1"/>
    <w:link w:val="29"/>
    <w:autoRedefine/>
    <w:semiHidden/>
    <w:unhideWhenUsed/>
    <w:qFormat/>
    <w:uiPriority w:val="99"/>
    <w:rPr>
      <w:sz w:val="18"/>
      <w:szCs w:val="18"/>
    </w:rPr>
  </w:style>
  <w:style w:type="paragraph" w:styleId="11">
    <w:name w:val="footer"/>
    <w:basedOn w:val="1"/>
    <w:link w:val="26"/>
    <w:autoRedefine/>
    <w:unhideWhenUsed/>
    <w:qFormat/>
    <w:uiPriority w:val="99"/>
    <w:pPr>
      <w:tabs>
        <w:tab w:val="center" w:pos="4153"/>
        <w:tab w:val="right" w:pos="8306"/>
      </w:tabs>
      <w:snapToGrid w:val="0"/>
      <w:jc w:val="left"/>
    </w:pPr>
    <w:rPr>
      <w:sz w:val="18"/>
      <w:szCs w:val="18"/>
    </w:rPr>
  </w:style>
  <w:style w:type="paragraph" w:styleId="12">
    <w:name w:val="header"/>
    <w:basedOn w:val="1"/>
    <w:link w:val="2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autoRedefine/>
    <w:semiHidden/>
    <w:unhideWhenUsed/>
    <w:qFormat/>
    <w:uiPriority w:val="99"/>
    <w:rPr>
      <w:rFonts w:ascii="Times New Roman" w:hAnsi="Times New Roman" w:cs="Times New Roman"/>
      <w:sz w:val="24"/>
      <w:szCs w:val="24"/>
    </w:rPr>
  </w:style>
  <w:style w:type="paragraph" w:styleId="14">
    <w:name w:val="annotation subject"/>
    <w:basedOn w:val="6"/>
    <w:next w:val="6"/>
    <w:link w:val="28"/>
    <w:autoRedefine/>
    <w:semiHidden/>
    <w:unhideWhenUsed/>
    <w:qFormat/>
    <w:uiPriority w:val="99"/>
    <w:rPr>
      <w:b/>
      <w:bCs/>
    </w:rPr>
  </w:style>
  <w:style w:type="paragraph" w:styleId="15">
    <w:name w:val="Body Text First Indent"/>
    <w:basedOn w:val="2"/>
    <w:next w:val="1"/>
    <w:autoRedefine/>
    <w:qFormat/>
    <w:uiPriority w:val="0"/>
    <w:pPr>
      <w:ind w:firstLine="420" w:firstLineChars="100"/>
    </w:pPr>
  </w:style>
  <w:style w:type="paragraph" w:styleId="16">
    <w:name w:val="Body Text First Indent 2"/>
    <w:basedOn w:val="7"/>
    <w:autoRedefine/>
    <w:qFormat/>
    <w:uiPriority w:val="0"/>
    <w:pPr>
      <w:ind w:firstLine="420"/>
    </w:pPr>
  </w:style>
  <w:style w:type="table" w:styleId="18">
    <w:name w:val="Table Grid"/>
    <w:basedOn w:val="17"/>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0">
    <w:name w:val="Emphasis"/>
    <w:basedOn w:val="19"/>
    <w:autoRedefine/>
    <w:qFormat/>
    <w:uiPriority w:val="20"/>
    <w:rPr>
      <w:i/>
    </w:rPr>
  </w:style>
  <w:style w:type="character" w:styleId="21">
    <w:name w:val="annotation reference"/>
    <w:basedOn w:val="19"/>
    <w:autoRedefine/>
    <w:semiHidden/>
    <w:unhideWhenUsed/>
    <w:qFormat/>
    <w:uiPriority w:val="99"/>
    <w:rPr>
      <w:sz w:val="21"/>
      <w:szCs w:val="21"/>
    </w:rPr>
  </w:style>
  <w:style w:type="paragraph" w:customStyle="1" w:styleId="22">
    <w:name w:val="表格文字"/>
    <w:basedOn w:val="23"/>
    <w:autoRedefine/>
    <w:qFormat/>
    <w:uiPriority w:val="0"/>
  </w:style>
  <w:style w:type="paragraph" w:customStyle="1" w:styleId="23">
    <w:name w:val="表格文字（两侧对齐）"/>
    <w:basedOn w:val="1"/>
    <w:autoRedefine/>
    <w:qFormat/>
    <w:uiPriority w:val="0"/>
    <w:pPr>
      <w:widowControl w:val="0"/>
      <w:spacing w:line="240" w:lineRule="auto"/>
      <w:ind w:firstLine="0" w:firstLineChars="0"/>
    </w:pPr>
    <w:rPr>
      <w:rFonts w:ascii="Calibri" w:hAnsi="Calibri" w:cs="Times New Roman"/>
      <w:kern w:val="0"/>
      <w:sz w:val="20"/>
    </w:rPr>
  </w:style>
  <w:style w:type="paragraph" w:styleId="24">
    <w:name w:val="List Paragraph"/>
    <w:basedOn w:val="1"/>
    <w:autoRedefine/>
    <w:qFormat/>
    <w:uiPriority w:val="34"/>
    <w:pPr>
      <w:ind w:firstLine="420" w:firstLineChars="200"/>
    </w:pPr>
  </w:style>
  <w:style w:type="character" w:customStyle="1" w:styleId="25">
    <w:name w:val="页眉 Char"/>
    <w:basedOn w:val="19"/>
    <w:link w:val="12"/>
    <w:autoRedefine/>
    <w:qFormat/>
    <w:uiPriority w:val="99"/>
    <w:rPr>
      <w:sz w:val="18"/>
      <w:szCs w:val="18"/>
    </w:rPr>
  </w:style>
  <w:style w:type="character" w:customStyle="1" w:styleId="26">
    <w:name w:val="页脚 Char"/>
    <w:basedOn w:val="19"/>
    <w:link w:val="11"/>
    <w:autoRedefine/>
    <w:qFormat/>
    <w:uiPriority w:val="99"/>
    <w:rPr>
      <w:sz w:val="18"/>
      <w:szCs w:val="18"/>
    </w:rPr>
  </w:style>
  <w:style w:type="character" w:customStyle="1" w:styleId="27">
    <w:name w:val="批注文字 Char"/>
    <w:basedOn w:val="19"/>
    <w:link w:val="6"/>
    <w:autoRedefine/>
    <w:semiHidden/>
    <w:qFormat/>
    <w:uiPriority w:val="99"/>
  </w:style>
  <w:style w:type="character" w:customStyle="1" w:styleId="28">
    <w:name w:val="批注主题 Char"/>
    <w:basedOn w:val="27"/>
    <w:link w:val="14"/>
    <w:autoRedefine/>
    <w:semiHidden/>
    <w:qFormat/>
    <w:uiPriority w:val="99"/>
    <w:rPr>
      <w:b/>
      <w:bCs/>
    </w:rPr>
  </w:style>
  <w:style w:type="character" w:customStyle="1" w:styleId="29">
    <w:name w:val="批注框文本 Char"/>
    <w:basedOn w:val="19"/>
    <w:link w:val="10"/>
    <w:autoRedefine/>
    <w:semiHidden/>
    <w:qFormat/>
    <w:uiPriority w:val="99"/>
    <w:rPr>
      <w:sz w:val="18"/>
      <w:szCs w:val="18"/>
    </w:rPr>
  </w:style>
  <w:style w:type="character" w:customStyle="1" w:styleId="30">
    <w:name w:val="日期 Char"/>
    <w:basedOn w:val="19"/>
    <w:link w:val="9"/>
    <w:autoRedefine/>
    <w:semiHidden/>
    <w:qFormat/>
    <w:uiPriority w:val="99"/>
  </w:style>
  <w:style w:type="table" w:customStyle="1" w:styleId="31">
    <w:name w:val="网格型1"/>
    <w:basedOn w:val="1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
    <w:name w:val="NormalCharacter"/>
    <w:autoRedefine/>
    <w:qFormat/>
    <w:uiPriority w:val="0"/>
    <w:rPr>
      <w:rFonts w:ascii="Times New Roman" w:hAnsi="Times New Roman" w:eastAsia="宋体" w:cs="Times New Roman"/>
      <w:kern w:val="2"/>
      <w:sz w:val="21"/>
      <w:szCs w:val="24"/>
      <w:lang w:val="en-US" w:eastAsia="zh-CN" w:bidi="ar-SA"/>
    </w:rPr>
  </w:style>
  <w:style w:type="paragraph" w:customStyle="1" w:styleId="33">
    <w:name w:val="Body text|1"/>
    <w:basedOn w:val="1"/>
    <w:autoRedefine/>
    <w:qFormat/>
    <w:uiPriority w:val="0"/>
    <w:pPr>
      <w:spacing w:line="480" w:lineRule="auto"/>
      <w:ind w:firstLine="400"/>
    </w:pPr>
    <w:rPr>
      <w:rFonts w:ascii="宋体" w:hAnsi="宋体" w:cs="宋体"/>
      <w:sz w:val="26"/>
      <w:szCs w:val="26"/>
      <w:lang w:val="zh-TW" w:eastAsia="zh-TW" w:bidi="zh-TW"/>
    </w:rPr>
  </w:style>
  <w:style w:type="paragraph" w:customStyle="1" w:styleId="34">
    <w:name w:val=".正文"/>
    <w:basedOn w:val="1"/>
    <w:autoRedefine/>
    <w:qFormat/>
    <w:uiPriority w:val="0"/>
    <w:pPr>
      <w:widowControl w:val="0"/>
      <w:spacing w:beforeLines="50"/>
      <w:ind w:firstLine="200" w:firstLineChars="200"/>
      <w:jc w:val="both"/>
    </w:pPr>
    <w:rPr>
      <w:rFonts w:ascii="Calibri" w:hAnsi="Calibri" w:eastAsia="华文仿宋"/>
      <w:kern w:val="2"/>
      <w:sz w:val="21"/>
      <w:szCs w:val="22"/>
    </w:rPr>
  </w:style>
  <w:style w:type="character" w:customStyle="1" w:styleId="35">
    <w:name w:val="font61"/>
    <w:basedOn w:val="19"/>
    <w:autoRedefine/>
    <w:qFormat/>
    <w:uiPriority w:val="0"/>
    <w:rPr>
      <w:rFonts w:hint="eastAsia" w:ascii="仿宋_GB2312" w:eastAsia="仿宋_GB2312" w:cs="仿宋_GB2312"/>
      <w:color w:val="000000"/>
      <w:sz w:val="22"/>
      <w:szCs w:val="22"/>
      <w:u w:val="none"/>
    </w:rPr>
  </w:style>
  <w:style w:type="paragraph" w:customStyle="1" w:styleId="3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1C57AC-F384-4852-B080-CB945217BE0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8120</Words>
  <Characters>8530</Characters>
  <Lines>49</Lines>
  <Paragraphs>13</Paragraphs>
  <TotalTime>10</TotalTime>
  <ScaleCrop>false</ScaleCrop>
  <LinksUpToDate>false</LinksUpToDate>
  <CharactersWithSpaces>8643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2020-10-16T02:30:00Z</dcterms:created>
  <dc:creator>林央芝</dc:creator>
  <cp:lastModifiedBy>杨沁菀</cp:lastModifiedBy>
  <cp:lastPrinted>2020-10-19T07:41:00Z</cp:lastPrinted>
  <dcterms:modified xsi:type="dcterms:W3CDTF">2025-03-14T03:00:02Z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549472479</vt:i4>
  </property>
  <property fmtid="{D5CDD505-2E9C-101B-9397-08002B2CF9AE}" pid="3" name="KSOProductBuildVer">
    <vt:lpwstr>2052-12.1.0.20305</vt:lpwstr>
  </property>
  <property fmtid="{D5CDD505-2E9C-101B-9397-08002B2CF9AE}" pid="4" name="ICV">
    <vt:lpwstr>3C351585466A4428BDBCE981CE3CBEC2_13</vt:lpwstr>
  </property>
  <property fmtid="{D5CDD505-2E9C-101B-9397-08002B2CF9AE}" pid="5" name="KSOTemplateDocerSaveRecord">
    <vt:lpwstr>eyJoZGlkIjoiODg2NGRhZTE4ZDQ1NWU0NTliNDQ5YTk5NzNjMzQ3MzEiLCJ1c2VySWQiOiI0NTc0NTM5ODIifQ==</vt:lpwstr>
  </property>
</Properties>
</file>