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附件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1</w:t>
      </w:r>
    </w:p>
    <w:p>
      <w:pPr>
        <w:pStyle w:val="10"/>
        <w:jc w:val="center"/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四川省妇幼保健院UPS年度维保项目市场调研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>要求</w:t>
      </w:r>
      <w:bookmarkStart w:id="2" w:name="_GoBack"/>
      <w:bookmarkEnd w:id="2"/>
    </w:p>
    <w:p>
      <w:pPr>
        <w:ind w:firstLine="480" w:firstLineChars="200"/>
        <w:rPr>
          <w:rFonts w:hint="eastAsia" w:ascii="黑体" w:hAnsi="黑体" w:eastAsia="黑体" w:cs="黑体"/>
          <w:sz w:val="24"/>
          <w:szCs w:val="28"/>
        </w:rPr>
      </w:pPr>
      <w:r>
        <w:rPr>
          <w:rFonts w:hint="eastAsia" w:ascii="黑体" w:hAnsi="黑体" w:eastAsia="黑体" w:cs="黑体"/>
          <w:sz w:val="24"/>
          <w:szCs w:val="28"/>
        </w:rPr>
        <w:t>一、</w:t>
      </w:r>
      <w:r>
        <w:rPr>
          <w:rFonts w:hint="eastAsia" w:ascii="黑体" w:hAnsi="黑体" w:eastAsia="黑体" w:cs="黑体"/>
          <w:sz w:val="24"/>
          <w:szCs w:val="28"/>
          <w:lang w:val="en-US" w:eastAsia="zh-CN"/>
        </w:rPr>
        <w:t>项目</w:t>
      </w:r>
      <w:r>
        <w:rPr>
          <w:rFonts w:hint="eastAsia" w:ascii="黑体" w:hAnsi="黑体" w:eastAsia="黑体" w:cs="黑体"/>
          <w:sz w:val="24"/>
          <w:szCs w:val="28"/>
        </w:rPr>
        <w:t>概况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1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项目</w:t>
      </w:r>
      <w:r>
        <w:rPr>
          <w:rFonts w:hint="eastAsia" w:ascii="仿宋" w:hAnsi="仿宋" w:eastAsia="仿宋" w:cs="仿宋"/>
          <w:sz w:val="24"/>
          <w:szCs w:val="28"/>
        </w:rPr>
        <w:t>名称：四川省妇幼保健院UPS年度维保项目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2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项目</w:t>
      </w:r>
      <w:r>
        <w:rPr>
          <w:rFonts w:hint="eastAsia" w:ascii="仿宋" w:hAnsi="仿宋" w:eastAsia="仿宋" w:cs="仿宋"/>
          <w:sz w:val="24"/>
          <w:szCs w:val="28"/>
        </w:rPr>
        <w:t>位置：成都市武侯区沙堰西二街290号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8"/>
        </w:rPr>
        <w:t>成都市双流区岐黄二路1515号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3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项目</w:t>
      </w:r>
      <w:r>
        <w:rPr>
          <w:rFonts w:hint="eastAsia" w:ascii="仿宋" w:hAnsi="仿宋" w:eastAsia="仿宋" w:cs="仿宋"/>
          <w:sz w:val="24"/>
          <w:szCs w:val="28"/>
        </w:rPr>
        <w:t>概况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8"/>
        </w:rPr>
        <w:t>我院一期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项目</w:t>
      </w:r>
      <w:r>
        <w:rPr>
          <w:rFonts w:hint="eastAsia" w:ascii="仿宋" w:hAnsi="仿宋" w:eastAsia="仿宋" w:cs="仿宋"/>
          <w:sz w:val="24"/>
          <w:szCs w:val="28"/>
        </w:rPr>
        <w:t>于2012年整体投入使用，二期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项目</w:t>
      </w:r>
      <w:r>
        <w:rPr>
          <w:rFonts w:hint="eastAsia" w:ascii="仿宋" w:hAnsi="仿宋" w:eastAsia="仿宋" w:cs="仿宋"/>
          <w:sz w:val="24"/>
          <w:szCs w:val="28"/>
        </w:rPr>
        <w:t>于2015年整体投入使用,天府院区2022年年底投入使用；为保障我院设施、设备的安全性，需对全院的UPS进行年度维保，维保数量100余台。</w:t>
      </w:r>
    </w:p>
    <w:p>
      <w:pPr>
        <w:ind w:firstLine="480" w:firstLineChars="200"/>
        <w:rPr>
          <w:rFonts w:hint="eastAsia" w:ascii="黑体" w:hAnsi="黑体" w:eastAsia="黑体" w:cs="黑体"/>
          <w:sz w:val="24"/>
          <w:szCs w:val="28"/>
        </w:rPr>
      </w:pPr>
      <w:r>
        <w:rPr>
          <w:rFonts w:hint="eastAsia" w:ascii="黑体" w:hAnsi="黑体" w:eastAsia="黑体" w:cs="黑体"/>
          <w:sz w:val="24"/>
          <w:szCs w:val="28"/>
        </w:rPr>
        <w:t>二、服务要求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1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</w:rPr>
        <w:t>服务期内维保单位负责对维保设备进行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每月2</w:t>
      </w:r>
      <w:r>
        <w:rPr>
          <w:rFonts w:hint="eastAsia" w:ascii="仿宋" w:hAnsi="仿宋" w:eastAsia="仿宋" w:cs="仿宋"/>
          <w:sz w:val="24"/>
          <w:szCs w:val="28"/>
        </w:rPr>
        <w:t>次固定巡检，详细检查维保设备的运行情况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8"/>
        </w:rPr>
        <w:t>每月1次关键参数抽检（如电池健康度、负载率、环境温湿度等），对维保设备进行仔细维护，并形成书面文字材料，包括维保设备的维修维保维护、部件更换情况、次数、日期等，留甲乙双方作存档，以便随时查阅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2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</w:rPr>
        <w:t>维保单位在接到甲方的报修电话后1小时内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8"/>
        </w:rPr>
        <w:t>关键区域设备故障响应时间缩短至30分钟内，并配备24小时值班团队，确保节假日及夜间服务覆盖。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8"/>
        </w:rPr>
        <w:t>，派技术人员提供技术支持或现场服务，由此产生的费用由维保单位负责。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3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</w:rPr>
        <w:t>对电池做放电维护（电池的充电电压、电流，放电电压、电流，内阻大小，负载大小），检测市电输入、输出电压、频率、尖峰浪涌等是否正常，对使用环境的温度、湿度、尘埃物是否符合要求进行检测。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4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</w:rPr>
        <w:t>填写维保设备测试单。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5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</w:rPr>
        <w:t>对甲方有关人员进行现场解答疑难问题。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6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8"/>
        </w:rPr>
        <w:t>清理维保设备的灰尘。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7.维保内容包括：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﹙1﹚检查维保设备的使用环境（如市电、负载、连接线、环境温度等）。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﹙2﹚对主要故障引发点进行预防维护（如风机）。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﹙3﹚检查测试各关键位置的电性能指标数据等，并予以详细记录。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维保单位需提供临时UPS设备（功率匹配）作为应急保障，确保关键区域在维护期间不断电。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8"/>
        </w:rPr>
        <w:t>增加对电池内阻、电池组一致性、UPS逻辑板固件版本的检测，并形成趋势分析报告。对高负载设备（如200KVA UPS）进行红外热成像检测，排查潜在过热风险。</w:t>
      </w:r>
    </w:p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8"/>
        </w:rPr>
      </w:pPr>
      <w:bookmarkStart w:id="0" w:name="_Toc20317_WPSOffice_Level2"/>
      <w:bookmarkStart w:id="1" w:name="_Toc20695_WPSOffice_Level2"/>
      <w:r>
        <w:rPr>
          <w:rFonts w:hint="eastAsia" w:ascii="黑体" w:hAnsi="黑体" w:eastAsia="黑体" w:cs="黑体"/>
          <w:sz w:val="24"/>
          <w:szCs w:val="28"/>
          <w:lang w:val="en-US" w:eastAsia="zh-CN"/>
        </w:rPr>
        <w:t>三、</w:t>
      </w:r>
      <w:r>
        <w:rPr>
          <w:rFonts w:hint="eastAsia" w:ascii="黑体" w:hAnsi="黑体" w:eastAsia="黑体" w:cs="黑体"/>
          <w:sz w:val="24"/>
          <w:szCs w:val="28"/>
        </w:rPr>
        <w:t>维保设备服务内容、</w:t>
      </w:r>
      <w:bookmarkEnd w:id="0"/>
      <w:bookmarkEnd w:id="1"/>
      <w:r>
        <w:rPr>
          <w:rFonts w:hint="eastAsia" w:ascii="黑体" w:hAnsi="黑体" w:eastAsia="黑体" w:cs="黑体"/>
          <w:sz w:val="24"/>
          <w:szCs w:val="28"/>
        </w:rPr>
        <w:t>清单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1.维保单位需要对</w:t>
      </w:r>
      <w:r>
        <w:rPr>
          <w:rFonts w:hint="eastAsia" w:ascii="仿宋" w:hAnsi="仿宋" w:eastAsia="仿宋" w:cs="仿宋"/>
          <w:sz w:val="24"/>
          <w:szCs w:val="28"/>
        </w:rPr>
        <w:t>维保设备清单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进行现场核实（包含不限于表格数量），</w:t>
      </w:r>
      <w:r>
        <w:rPr>
          <w:rFonts w:hint="eastAsia" w:ascii="仿宋" w:hAnsi="仿宋" w:eastAsia="仿宋" w:cs="仿宋"/>
          <w:sz w:val="24"/>
          <w:szCs w:val="28"/>
        </w:rPr>
        <w:t>优化高危设备（如手术室、ICU、信息机房UPS）：单独建立维护档案，标注历史故障记录与维护优先级。老旧设备（2012年、2015年投入使用）：制定“预防性更换计划”，逐步替换核心易损件（如电容、风扇）。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8"/>
        </w:rPr>
        <w:t>电池管理强化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对使用超过3年的电池组（如12V100AH电池）进行容量衰减测试，并建议更换阈值（容量低于80%时强制更换）。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明确电池品牌兼容性要求（如松下电池仅允许原厂或认证替代品）。</w:t>
      </w:r>
    </w:p>
    <w:tbl>
      <w:tblPr>
        <w:tblStyle w:val="12"/>
        <w:tblW w:w="501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6912"/>
        <w:gridCol w:w="1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序号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维保服务内容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服务</w:t>
            </w:r>
          </w:p>
          <w:p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-2F通道安第斯EPS电源5K，电池ABCC,65AH电池18只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-1F配电房内安第斯EPS电源5K  电池ABCC 100AH电池18只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-1F配电房内电池ABCC电池100AH18只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-1F值班室内山特3C20KVA UPS电源 12V100AH电池32只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1F急诊科电井内安第斯10KVA UPS电源 abcc12V38AH电池16只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6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1F电梯对面配电室安第斯EPS电源3K abcc12V38AH电池8只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7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1F消防控制室内安第斯P30KL UPS电源 abcc12V100AH电池64只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8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1F信息机房MOTU200KVA UPS电源ABCC 12V200AH电池120只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9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1F信息机房山特3C15KS UPS电源 ABCC 12V100AH电池32只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10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1FCT室后高压配电室安第斯EPS电源5K 安第斯12V100AH电池18只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11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1F中控室内山特20KVA UPS电源 ABCC 12V100AH电池32只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12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1F放射科医生值班室山特3KVA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13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1F医生办公室山特3K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14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1F钼靶检查室山特3K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15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1FMRI门诊室山特3K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16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1F彩超1室山特3KVA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17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1F彩超2室山特3KVA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18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2F电梯对面配电室安第斯EPS电源3K abcc12V38AH电池4只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19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2F微生物室安第斯P6KL UPS电源 abcc12V100AH电池32只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20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2F检验科安第斯P60KL UPS电源abcc12V100AH电池96只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21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2F检验科安耐威300KVA UPS电源 12V150AH电池80只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22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2F检验科内山特80KVA UPS电源 12V100AH32只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23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2F检验科内电井安第斯EPS电源3K 安第斯12V100AH电池18只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24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3F电梯对面电井安第斯EPS电源3K 安第斯12V38AH电池4只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25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3F超声科电井爱克赛60KVA UPS电源 12V65AH电池30只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26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3F5诊室山特3KVA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27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3F2诊室3KVA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28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3F医生办公室山特3KVA UPS电源标机2台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29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3F医生值班室APC3KVA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30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4F电梯对面电井安第斯EPS电源3K 安第斯12V38AH电池8只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31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4F强电井安第斯60KVA UPS电源 安第斯12V100AH电池64只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32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4F强电井爱克赛80KVA UPS电源 MFS12V100AH电池20只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33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4F门诊手术室安第斯15KVA UPS电源 安第斯12V120AH电池16只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34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4F手术室内安TOTU200KVA UPS电源 安第斯12V120AH电池120只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35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4F电井安第斯6KVA UPS电源 12V100AH电池16只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1F强电井安第斯20KVA UPS电源 12V100AH电池16只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37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2F更衣室旁金武士10KVA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38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2F分子室山特3KVA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39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2F更衣室APC3KVA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40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2F技术室山特3KVA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41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2F办公区 APC3KVA UPS电源标机4台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42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3F新筛中心电井APC10KVA UPS电源 12V17AH电池16只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43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3F新筛中心电井山特3KVA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44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1F1楼电梯间安第斯30KVA UPS电源 12V100AH电池32只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45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2F生物危害室山特3KVA UPS电源 12V17AH电池8只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46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2F产前通道山特3KVA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47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2F产前危害室APC3KVA UPS电源 松下12V100AH电池16只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48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3F产前实验室山特6KVA UPS电源 松下12V36AH电池16只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49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3F产前实验室CASTLE3KVA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50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3F产前标本室力讯6KVA UPS电源 12V38AH电池8只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51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3F产前电泳室力讯6KVA UPS电源 12V38AH电池8只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52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3F产前电泳区力讯10KVA UPS电源 12V100AH电池8只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53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1F电话中心机房山特30KVA UPS电源 12V100AH电池32只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54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1F电话中心机房山特6KVA UPS电源 12V100AH电池16只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55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1F放射科内山特3kVA UPS电源标机5台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56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2F药房山特3KVA UPS电源标机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57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2F药房金武士2KVA UPS电源 12V100AH电池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58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3F儿童重症区浙江科瑞60KVA EPS电源ABCC 12V120AH电池56只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59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6F早产儿科电梯井科瑞30KVA EPS电源ABCC 12V120AH电池27只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60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5F产房MOTU200KVA UPS电源abcc 12V120AH电池120只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61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8F产科安第斯120KVA UPS电源 12V120AH电池64只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62</w:t>
            </w:r>
          </w:p>
        </w:tc>
        <w:tc>
          <w:tcPr>
            <w:tcW w:w="4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后勤办公楼2F弱电机房内安第斯P3KL UPS电源 安第斯12V100AH电池8只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auto"/>
              <w:jc w:val="center"/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3"/>
                <w:szCs w:val="23"/>
                <w:lang w:bidi="zh-CN"/>
              </w:rPr>
              <w:t>365天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24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8"/>
        </w:rPr>
        <w:t>天府院区UPS</w:t>
      </w:r>
    </w:p>
    <w:tbl>
      <w:tblPr>
        <w:tblStyle w:val="11"/>
        <w:tblW w:w="8080" w:type="dxa"/>
        <w:tblInd w:w="13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6063"/>
        <w:gridCol w:w="1134"/>
      </w:tblGrid>
      <w:tr>
        <w:trPr>
          <w:trHeight w:val="682" w:hRule="atLeast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维保服务内容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服务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期限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1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住院部6楼120KVA UPS电源1套，电池80只；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  <w:tr>
        <w:trPr>
          <w:trHeight w:val="590" w:hRule="exact"/>
        </w:trPr>
        <w:tc>
          <w:tcPr>
            <w:tcW w:w="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2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6楼160VA UPS电源1套，电池80只；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  <w:tr>
        <w:trPr>
          <w:trHeight w:val="590" w:hRule="exact"/>
        </w:trPr>
        <w:tc>
          <w:tcPr>
            <w:tcW w:w="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5楼80VA UPS电源1套，电池80只；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4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4楼120KVA UPS电源1套，电池80只；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5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3楼60KVA UPS电源1套，电池80只；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  <w:tr>
        <w:trPr>
          <w:trHeight w:val="590" w:hRule="exact"/>
        </w:trPr>
        <w:tc>
          <w:tcPr>
            <w:tcW w:w="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6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4楼儿童重症PICU 80VA UPS电源1套，电池80只；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7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信息化中心机房200KVA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8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检验眼科200KVA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9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彩超室120KVA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365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8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8"/>
        </w:rPr>
      </w:pPr>
      <w:r>
        <w:rPr>
          <w:rFonts w:hint="eastAsia" w:ascii="黑体" w:hAnsi="黑体" w:eastAsia="黑体" w:cs="黑体"/>
          <w:sz w:val="24"/>
          <w:szCs w:val="28"/>
          <w:lang w:val="en-US" w:eastAsia="zh-CN"/>
        </w:rPr>
        <w:t>四、</w:t>
      </w:r>
      <w:r>
        <w:rPr>
          <w:rFonts w:hint="eastAsia" w:ascii="黑体" w:hAnsi="黑体" w:eastAsia="黑体" w:cs="黑体"/>
          <w:sz w:val="24"/>
          <w:szCs w:val="28"/>
        </w:rPr>
        <w:t>维护人员资质要求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技术人员需持有厂家认证资质（如山特、APC、安第斯等品牌认证证书），并提交人员资质证明备案。定期开展医院电力系统专项培训，确保熟悉院内特殊场景需求。</w:t>
      </w:r>
    </w:p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8"/>
        </w:rPr>
      </w:pPr>
      <w:r>
        <w:rPr>
          <w:rFonts w:hint="eastAsia" w:ascii="黑体" w:hAnsi="黑体" w:eastAsia="黑体" w:cs="黑体"/>
          <w:sz w:val="24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sz w:val="24"/>
          <w:szCs w:val="28"/>
        </w:rPr>
        <w:t>、天府院区专项优化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8"/>
        </w:rPr>
        <w:t>高标准匹配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新投入使用的天府院区（2022年）设备需按厂家最新技术标准维护，如200KVA UPS电源需采用原厂固件升级服务。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信息化中心机房（200KVA）与检验眼科（200KVA）设备需配置双路冗余维护方案。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8"/>
        </w:rPr>
        <w:t>环境适应性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针对儿童重症PICU、早产儿科等区域，增加防尘、防潮专项检测，确保UPS运行环境符合医疗洁净标准。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38"/>
    <w:rsid w:val="000E7B07"/>
    <w:rsid w:val="001153DB"/>
    <w:rsid w:val="002B0B5B"/>
    <w:rsid w:val="00304167"/>
    <w:rsid w:val="00334DF6"/>
    <w:rsid w:val="00345033"/>
    <w:rsid w:val="0035564E"/>
    <w:rsid w:val="00401E38"/>
    <w:rsid w:val="00487254"/>
    <w:rsid w:val="005C1B0A"/>
    <w:rsid w:val="005C5607"/>
    <w:rsid w:val="00693682"/>
    <w:rsid w:val="00707095"/>
    <w:rsid w:val="00872963"/>
    <w:rsid w:val="008E2DF6"/>
    <w:rsid w:val="009D0BA1"/>
    <w:rsid w:val="00D01952"/>
    <w:rsid w:val="00DB1A32"/>
    <w:rsid w:val="00E40D38"/>
    <w:rsid w:val="00E708DA"/>
    <w:rsid w:val="00EA535D"/>
    <w:rsid w:val="00F010CE"/>
    <w:rsid w:val="00FE4120"/>
    <w:rsid w:val="02B61617"/>
    <w:rsid w:val="1D061AF9"/>
    <w:rsid w:val="265C4953"/>
    <w:rsid w:val="30833BF0"/>
    <w:rsid w:val="39867743"/>
    <w:rsid w:val="48F1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0"/>
    <w:semiHidden/>
    <w:unhideWhenUsed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7">
    <w:name w:val="Body Text"/>
    <w:basedOn w:val="1"/>
    <w:next w:val="1"/>
    <w:link w:val="23"/>
    <w:qFormat/>
    <w:uiPriority w:val="0"/>
    <w:rPr>
      <w:szCs w:val="24"/>
    </w:rPr>
  </w:style>
  <w:style w:type="paragraph" w:styleId="8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6">
    <w:name w:val="annotation reference"/>
    <w:basedOn w:val="13"/>
    <w:semiHidden/>
    <w:unhideWhenUsed/>
    <w:uiPriority w:val="99"/>
    <w:rPr>
      <w:sz w:val="21"/>
      <w:szCs w:val="21"/>
    </w:rPr>
  </w:style>
  <w:style w:type="character" w:customStyle="1" w:styleId="17">
    <w:name w:val="标题 1 字符"/>
    <w:basedOn w:val="13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页眉 字符"/>
    <w:basedOn w:val="13"/>
    <w:link w:val="9"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8"/>
    <w:qFormat/>
    <w:uiPriority w:val="99"/>
    <w:rPr>
      <w:sz w:val="18"/>
      <w:szCs w:val="18"/>
    </w:rPr>
  </w:style>
  <w:style w:type="character" w:customStyle="1" w:styleId="20">
    <w:name w:val="批注文字 字符"/>
    <w:basedOn w:val="13"/>
    <w:link w:val="6"/>
    <w:semiHidden/>
    <w:uiPriority w:val="0"/>
    <w:rPr>
      <w:rFonts w:ascii="Calibri" w:hAnsi="Calibri" w:eastAsia="宋体" w:cs="Times New Roman"/>
      <w:szCs w:val="24"/>
    </w:rPr>
  </w:style>
  <w:style w:type="character" w:customStyle="1" w:styleId="21">
    <w:name w:val="标题 2 字符"/>
    <w:basedOn w:val="13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标题 4 字符"/>
    <w:basedOn w:val="13"/>
    <w:link w:val="5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3">
    <w:name w:val="正文文本 字符"/>
    <w:basedOn w:val="13"/>
    <w:link w:val="7"/>
    <w:qFormat/>
    <w:uiPriority w:val="0"/>
    <w:rPr>
      <w:szCs w:val="24"/>
    </w:rPr>
  </w:style>
  <w:style w:type="paragraph" w:customStyle="1" w:styleId="2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954</Words>
  <Characters>5444</Characters>
  <Lines>45</Lines>
  <Paragraphs>12</Paragraphs>
  <TotalTime>202</TotalTime>
  <ScaleCrop>false</ScaleCrop>
  <LinksUpToDate>false</LinksUpToDate>
  <CharactersWithSpaces>6386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2024-01-05T01:09:00Z</dcterms:created>
  <dc:creator>mi</dc:creator>
  <cp:lastModifiedBy>hasee</cp:lastModifiedBy>
  <dcterms:modified xsi:type="dcterms:W3CDTF">2025-02-28T07:36:48Z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