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00" w:lineRule="exact"/>
        <w:jc w:val="left"/>
        <w:rPr>
          <w:rFonts w:ascii="仿宋" w:hAnsi="仿宋" w:eastAsia="仿宋" w:cs="Segoe UI"/>
          <w:b/>
          <w:color w:val="auto"/>
          <w:spacing w:val="8"/>
          <w:kern w:val="0"/>
          <w:sz w:val="28"/>
          <w:szCs w:val="28"/>
        </w:rPr>
      </w:pPr>
      <w:r>
        <w:rPr>
          <w:rFonts w:hint="eastAsia" w:ascii="黑体" w:hAnsi="黑体" w:eastAsia="黑体" w:cs="Segoe UI"/>
          <w:color w:val="auto"/>
          <w:kern w:val="0"/>
          <w:sz w:val="32"/>
          <w:szCs w:val="32"/>
        </w:rPr>
        <w:t>附件1：</w:t>
      </w:r>
      <w:r>
        <w:rPr>
          <w:rFonts w:hint="eastAsia" w:ascii="仿宋" w:hAnsi="仿宋" w:eastAsia="仿宋" w:cs="Segoe UI"/>
          <w:b/>
          <w:color w:val="auto"/>
          <w:spacing w:val="8"/>
          <w:kern w:val="0"/>
          <w:sz w:val="28"/>
          <w:szCs w:val="28"/>
        </w:rPr>
        <w:t>采购项目需求</w:t>
      </w:r>
    </w:p>
    <w:p>
      <w:pPr>
        <w:spacing w:line="360" w:lineRule="exact"/>
        <w:jc w:val="left"/>
        <w:rPr>
          <w:b/>
          <w:bCs/>
          <w:color w:val="auto"/>
        </w:rPr>
      </w:pPr>
      <w:bookmarkStart w:id="0" w:name="OLE_LINK4"/>
      <w:r>
        <w:rPr>
          <w:rFonts w:hint="eastAsia"/>
          <w:b/>
          <w:bCs/>
          <w:color w:val="auto"/>
        </w:rPr>
        <w:t>一、采购标的：</w:t>
      </w:r>
    </w:p>
    <w:p>
      <w:pPr>
        <w:spacing w:line="360" w:lineRule="exact"/>
        <w:jc w:val="left"/>
        <w:rPr>
          <w:rFonts w:ascii="宋体" w:hAnsi="宋体" w:eastAsia="宋体" w:cs="宋体"/>
          <w:color w:val="auto"/>
        </w:rPr>
      </w:pPr>
      <w:r>
        <w:rPr>
          <w:rFonts w:hint="eastAsia" w:ascii="宋体" w:hAnsi="宋体" w:eastAsia="宋体" w:cs="宋体"/>
          <w:color w:val="auto"/>
        </w:rPr>
        <w:t>备注：超过最高限价的报价，视为无效投标</w:t>
      </w:r>
    </w:p>
    <w:tbl>
      <w:tblPr>
        <w:tblStyle w:val="10"/>
        <w:tblW w:w="345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2487"/>
        <w:gridCol w:w="1183"/>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653" w:type="pct"/>
            <w:vAlign w:val="center"/>
          </w:tcPr>
          <w:p>
            <w:pPr>
              <w:spacing w:line="360" w:lineRule="exact"/>
              <w:jc w:val="center"/>
              <w:rPr>
                <w:rFonts w:ascii="宋体" w:hAnsi="宋体"/>
                <w:bCs/>
                <w:color w:val="auto"/>
              </w:rPr>
            </w:pPr>
            <w:r>
              <w:rPr>
                <w:rFonts w:hint="eastAsia" w:ascii="宋体" w:hAnsi="宋体"/>
                <w:bCs/>
                <w:color w:val="auto"/>
              </w:rPr>
              <w:t>序号</w:t>
            </w:r>
          </w:p>
        </w:tc>
        <w:tc>
          <w:tcPr>
            <w:tcW w:w="2109" w:type="pct"/>
            <w:vAlign w:val="center"/>
          </w:tcPr>
          <w:p>
            <w:pPr>
              <w:spacing w:line="360" w:lineRule="exact"/>
              <w:jc w:val="center"/>
              <w:rPr>
                <w:rFonts w:ascii="宋体" w:hAnsi="宋体"/>
                <w:bCs/>
                <w:color w:val="auto"/>
              </w:rPr>
            </w:pPr>
            <w:r>
              <w:rPr>
                <w:rFonts w:hint="eastAsia" w:ascii="宋体" w:hAnsi="宋体" w:cs="宋体"/>
                <w:bCs/>
                <w:color w:val="auto"/>
              </w:rPr>
              <w:t>产品名称</w:t>
            </w:r>
          </w:p>
        </w:tc>
        <w:tc>
          <w:tcPr>
            <w:tcW w:w="1003" w:type="pct"/>
            <w:vAlign w:val="center"/>
          </w:tcPr>
          <w:p>
            <w:pPr>
              <w:spacing w:line="360" w:lineRule="exact"/>
              <w:jc w:val="center"/>
              <w:rPr>
                <w:rFonts w:ascii="宋体" w:hAnsi="宋体"/>
                <w:bCs/>
                <w:color w:val="auto"/>
              </w:rPr>
            </w:pPr>
            <w:r>
              <w:rPr>
                <w:rFonts w:hint="eastAsia" w:ascii="宋体" w:hAnsi="宋体" w:cs="宋体"/>
                <w:bCs/>
                <w:color w:val="auto"/>
              </w:rPr>
              <w:t>数量</w:t>
            </w:r>
          </w:p>
        </w:tc>
        <w:tc>
          <w:tcPr>
            <w:tcW w:w="1233" w:type="pct"/>
            <w:vAlign w:val="center"/>
          </w:tcPr>
          <w:p>
            <w:pPr>
              <w:spacing w:line="360" w:lineRule="exact"/>
              <w:jc w:val="center"/>
              <w:rPr>
                <w:rFonts w:ascii="宋体" w:hAnsi="宋体" w:cs="宋体"/>
                <w:bCs/>
                <w:color w:val="auto"/>
              </w:rPr>
            </w:pPr>
            <w:r>
              <w:rPr>
                <w:rFonts w:hint="eastAsia" w:ascii="宋体" w:hAnsi="宋体" w:cs="宋体"/>
                <w:bCs/>
                <w:color w:val="auto"/>
              </w:rPr>
              <w:t>最高限价</w:t>
            </w:r>
          </w:p>
          <w:p>
            <w:pPr>
              <w:spacing w:line="360" w:lineRule="exact"/>
              <w:jc w:val="center"/>
              <w:rPr>
                <w:rFonts w:ascii="宋体" w:hAnsi="宋体" w:cs="宋体"/>
                <w:bCs/>
                <w:color w:val="auto"/>
              </w:rPr>
            </w:pPr>
            <w:r>
              <w:rPr>
                <w:rFonts w:hint="eastAsia" w:ascii="宋体" w:hAnsi="宋体" w:cs="宋体"/>
                <w:bCs/>
                <w:color w:val="auto"/>
              </w:rPr>
              <w:t>（</w:t>
            </w:r>
            <w:r>
              <w:rPr>
                <w:rFonts w:hint="eastAsia" w:ascii="宋体" w:hAnsi="宋体"/>
                <w:color w:val="auto"/>
              </w:rPr>
              <w:t>万元</w:t>
            </w:r>
            <w:r>
              <w:rPr>
                <w:rFonts w:hint="eastAsia" w:ascii="宋体" w:hAnsi="宋体" w:cs="宋体"/>
                <w:bCs/>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653" w:type="pct"/>
            <w:vAlign w:val="center"/>
          </w:tcPr>
          <w:p>
            <w:pPr>
              <w:spacing w:line="420" w:lineRule="exact"/>
              <w:jc w:val="center"/>
              <w:rPr>
                <w:rFonts w:hint="eastAsia" w:ascii="宋体" w:hAnsi="宋体" w:eastAsiaTheme="minorEastAsia"/>
                <w:color w:val="auto"/>
                <w:lang w:eastAsia="zh-CN"/>
              </w:rPr>
            </w:pPr>
            <w:r>
              <w:rPr>
                <w:rFonts w:hint="eastAsia" w:ascii="宋体" w:hAnsi="宋体"/>
                <w:color w:val="auto"/>
                <w:lang w:val="en-US" w:eastAsia="zh-CN"/>
              </w:rPr>
              <w:t>1</w:t>
            </w:r>
          </w:p>
        </w:tc>
        <w:tc>
          <w:tcPr>
            <w:tcW w:w="2109" w:type="pct"/>
            <w:vAlign w:val="center"/>
          </w:tcPr>
          <w:p>
            <w:pPr>
              <w:spacing w:line="340" w:lineRule="exact"/>
              <w:jc w:val="center"/>
              <w:rPr>
                <w:rFonts w:hint="default" w:ascii="宋体" w:hAnsi="Times New Roman" w:eastAsia="宋体" w:cs="Times New Roman"/>
                <w:color w:val="auto"/>
                <w:lang w:val="en-US"/>
              </w:rPr>
            </w:pPr>
            <w:r>
              <w:rPr>
                <w:rFonts w:hint="eastAsia" w:ascii="宋体" w:hAnsi="宋体" w:eastAsia="宋体" w:cs="Times New Roman"/>
                <w:color w:val="auto"/>
                <w:lang w:val="en-US" w:eastAsia="zh-CN"/>
              </w:rPr>
              <w:t>有创呼吸机</w:t>
            </w:r>
          </w:p>
        </w:tc>
        <w:tc>
          <w:tcPr>
            <w:tcW w:w="1003" w:type="pct"/>
            <w:vAlign w:val="center"/>
          </w:tcPr>
          <w:p>
            <w:pPr>
              <w:spacing w:line="360" w:lineRule="exact"/>
              <w:jc w:val="center"/>
              <w:rPr>
                <w:rFonts w:hint="default" w:ascii="宋体" w:hAnsi="Times New Roman" w:eastAsia="宋体" w:cs="Times New Roman"/>
                <w:color w:val="auto"/>
                <w:lang w:val="en-US" w:eastAsia="zh-CN"/>
              </w:rPr>
            </w:pPr>
            <w:r>
              <w:rPr>
                <w:rFonts w:hint="eastAsia" w:ascii="宋体" w:hAnsi="Times New Roman" w:eastAsia="宋体" w:cs="Times New Roman"/>
                <w:color w:val="auto"/>
                <w:lang w:val="en-US" w:eastAsia="zh-CN"/>
              </w:rPr>
              <w:t>1台</w:t>
            </w:r>
          </w:p>
        </w:tc>
        <w:tc>
          <w:tcPr>
            <w:tcW w:w="1233" w:type="pct"/>
            <w:vAlign w:val="center"/>
          </w:tcPr>
          <w:p>
            <w:pPr>
              <w:spacing w:line="420" w:lineRule="exact"/>
              <w:jc w:val="center"/>
              <w:rPr>
                <w:rFonts w:hint="default" w:ascii="宋体" w:hAnsi="Times New Roman" w:eastAsia="宋体" w:cs="Times New Roman"/>
                <w:color w:val="auto"/>
                <w:lang w:val="en-US" w:eastAsia="zh-CN"/>
              </w:rPr>
            </w:pPr>
            <w:r>
              <w:rPr>
                <w:rFonts w:hint="eastAsia" w:ascii="宋体" w:hAnsi="Times New Roman" w:eastAsia="宋体" w:cs="Times New Roman"/>
                <w:color w:val="auto"/>
                <w:lang w:val="en-US" w:eastAsia="zh-CN"/>
              </w:rPr>
              <w:t>23</w:t>
            </w:r>
          </w:p>
        </w:tc>
      </w:tr>
    </w:tbl>
    <w:p>
      <w:pPr>
        <w:pStyle w:val="13"/>
        <w:rPr>
          <w:color w:val="auto"/>
        </w:rPr>
      </w:pPr>
    </w:p>
    <w:p>
      <w:pPr>
        <w:spacing w:line="360" w:lineRule="exact"/>
        <w:jc w:val="left"/>
        <w:rPr>
          <w:b/>
          <w:bCs/>
          <w:color w:val="auto"/>
        </w:rPr>
      </w:pPr>
      <w:r>
        <w:rPr>
          <w:rFonts w:hint="eastAsia"/>
          <w:b/>
          <w:bCs/>
          <w:color w:val="auto"/>
        </w:rPr>
        <w:t>二、技术要求：</w:t>
      </w:r>
    </w:p>
    <w:p>
      <w:pPr>
        <w:spacing w:line="360" w:lineRule="exact"/>
        <w:jc w:val="left"/>
        <w:rPr>
          <w:rFonts w:ascii="仿宋" w:hAnsi="仿宋" w:eastAsia="仿宋" w:cs="Segoe UI"/>
          <w:b/>
          <w:color w:val="auto"/>
          <w:spacing w:val="8"/>
          <w:kern w:val="0"/>
          <w:sz w:val="28"/>
          <w:szCs w:val="28"/>
        </w:rPr>
      </w:pPr>
      <w:r>
        <w:rPr>
          <w:rFonts w:hint="eastAsia"/>
          <w:color w:val="auto"/>
        </w:rPr>
        <w:t>说明：本章中标注“★”的条款为本项目的实质性条款，投标人不满足的，将按照无效投标处理</w:t>
      </w:r>
      <w:r>
        <w:rPr>
          <w:rFonts w:hint="eastAsia" w:ascii="仿宋" w:hAnsi="仿宋" w:eastAsia="仿宋" w:cs="Segoe UI"/>
          <w:b/>
          <w:color w:val="auto"/>
          <w:spacing w:val="8"/>
          <w:kern w:val="0"/>
          <w:sz w:val="28"/>
          <w:szCs w:val="28"/>
        </w:rPr>
        <w:t>。</w:t>
      </w:r>
    </w:p>
    <w:p>
      <w:pPr>
        <w:numPr>
          <w:ilvl w:val="0"/>
          <w:numId w:val="0"/>
        </w:numPr>
        <w:spacing w:line="360" w:lineRule="exact"/>
        <w:rPr>
          <w:rFonts w:hint="eastAsia" w:ascii="宋体" w:hAnsi="宋体" w:eastAsia="宋体" w:cs="宋体"/>
          <w:color w:val="auto"/>
          <w:kern w:val="0"/>
          <w:lang w:eastAsia="zh-CN"/>
        </w:rPr>
      </w:pPr>
      <w:r>
        <w:rPr>
          <w:rFonts w:hint="eastAsia" w:ascii="宋体" w:hAnsi="宋体" w:eastAsia="宋体" w:cs="宋体"/>
          <w:color w:val="auto"/>
          <w:kern w:val="0"/>
          <w:lang w:val="en-US" w:eastAsia="zh-CN"/>
        </w:rPr>
        <w:t>1.</w:t>
      </w:r>
      <w:r>
        <w:rPr>
          <w:rFonts w:hint="eastAsia" w:ascii="宋体" w:hAnsi="宋体" w:eastAsia="宋体" w:cs="宋体"/>
          <w:color w:val="auto"/>
          <w:kern w:val="0"/>
          <w:lang w:eastAsia="zh-CN"/>
        </w:rPr>
        <w:t>▲电动电控涡轮驱动供气呼吸机，主机和屏幕一体化设计（</w:t>
      </w:r>
      <w:r>
        <w:rPr>
          <w:rFonts w:hint="eastAsia" w:ascii="宋体" w:hAnsi="宋体" w:eastAsia="宋体" w:cs="宋体"/>
          <w:color w:val="auto"/>
          <w:kern w:val="0"/>
          <w:lang w:val="en-US" w:eastAsia="zh-CN"/>
        </w:rPr>
        <w:t>非分体式</w:t>
      </w:r>
      <w:r>
        <w:rPr>
          <w:rFonts w:hint="eastAsia" w:ascii="宋体" w:hAnsi="宋体" w:eastAsia="宋体" w:cs="宋体"/>
          <w:color w:val="auto"/>
          <w:kern w:val="0"/>
          <w:lang w:eastAsia="zh-CN"/>
        </w:rPr>
        <w:t>），适用于成人、小儿、婴幼儿病人类型。</w:t>
      </w:r>
    </w:p>
    <w:p>
      <w:pPr>
        <w:numPr>
          <w:ilvl w:val="0"/>
          <w:numId w:val="0"/>
        </w:numPr>
        <w:spacing w:line="360" w:lineRule="exact"/>
        <w:rPr>
          <w:rFonts w:hint="eastAsia" w:ascii="宋体" w:hAnsi="宋体" w:eastAsia="宋体" w:cs="宋体"/>
          <w:color w:val="auto"/>
          <w:kern w:val="0"/>
          <w:lang w:eastAsia="zh-CN"/>
        </w:rPr>
      </w:pPr>
      <w:r>
        <w:rPr>
          <w:rFonts w:hint="eastAsia" w:ascii="宋体" w:hAnsi="宋体" w:eastAsia="宋体" w:cs="宋体"/>
          <w:color w:val="auto"/>
          <w:kern w:val="0"/>
          <w:lang w:val="en-US" w:eastAsia="zh-CN"/>
        </w:rPr>
        <w:t>2.</w:t>
      </w:r>
      <w:r>
        <w:rPr>
          <w:rFonts w:hint="eastAsia" w:ascii="宋体" w:hAnsi="宋体" w:eastAsia="宋体" w:cs="宋体"/>
          <w:color w:val="auto"/>
          <w:kern w:val="0"/>
          <w:lang w:eastAsia="zh-CN"/>
        </w:rPr>
        <w:t>▲</w:t>
      </w:r>
      <w:r>
        <w:rPr>
          <w:rFonts w:hint="eastAsia" w:ascii="宋体" w:hAnsi="宋体" w:eastAsia="宋体" w:cs="宋体"/>
          <w:color w:val="auto"/>
          <w:kern w:val="0"/>
          <w:lang w:val="en-US" w:eastAsia="zh-CN"/>
        </w:rPr>
        <w:t>≥</w:t>
      </w:r>
      <w:r>
        <w:rPr>
          <w:rFonts w:hint="eastAsia" w:ascii="宋体" w:hAnsi="宋体" w:eastAsia="宋体" w:cs="宋体"/>
          <w:color w:val="auto"/>
          <w:kern w:val="0"/>
          <w:lang w:eastAsia="zh-CN"/>
        </w:rPr>
        <w:t>12英寸彩色液晶全触摸屏，分辨率≥1280×800，中文界面。</w:t>
      </w:r>
    </w:p>
    <w:p>
      <w:pPr>
        <w:numPr>
          <w:ilvl w:val="0"/>
          <w:numId w:val="0"/>
        </w:numPr>
        <w:spacing w:line="360" w:lineRule="exact"/>
        <w:rPr>
          <w:rFonts w:hint="eastAsia" w:ascii="宋体" w:hAnsi="宋体" w:eastAsia="宋体" w:cs="宋体"/>
          <w:color w:val="auto"/>
          <w:kern w:val="0"/>
          <w:lang w:eastAsia="zh-CN"/>
        </w:rPr>
      </w:pPr>
      <w:r>
        <w:rPr>
          <w:rFonts w:hint="eastAsia" w:ascii="宋体" w:hAnsi="宋体" w:eastAsia="宋体" w:cs="宋体"/>
          <w:color w:val="auto"/>
          <w:kern w:val="0"/>
          <w:lang w:val="en-US" w:eastAsia="zh-CN"/>
        </w:rPr>
        <w:t>3.</w:t>
      </w:r>
      <w:r>
        <w:rPr>
          <w:rFonts w:hint="eastAsia" w:ascii="宋体" w:hAnsi="宋体" w:eastAsia="宋体" w:cs="宋体"/>
          <w:color w:val="auto"/>
          <w:kern w:val="0"/>
          <w:lang w:eastAsia="zh-CN"/>
        </w:rPr>
        <w:t>支持屏幕同屏显示≥4道波形，波形的颜色可调；≥3种环图，支持波形、环图、监测值同屏显示；支持全参数显示界面和大字体界面；呼吸波形及环图可冻结，呼吸环图可存储、对比。</w:t>
      </w:r>
    </w:p>
    <w:p>
      <w:pPr>
        <w:numPr>
          <w:ilvl w:val="0"/>
          <w:numId w:val="0"/>
        </w:numPr>
        <w:spacing w:line="360" w:lineRule="exact"/>
        <w:rPr>
          <w:rFonts w:hint="eastAsia" w:ascii="宋体" w:hAnsi="宋体" w:eastAsia="宋体" w:cs="宋体"/>
          <w:color w:val="auto"/>
          <w:kern w:val="0"/>
          <w:lang w:eastAsia="zh-CN"/>
        </w:rPr>
      </w:pPr>
      <w:r>
        <w:rPr>
          <w:rFonts w:hint="eastAsia" w:ascii="宋体" w:hAnsi="宋体" w:eastAsia="宋体" w:cs="宋体"/>
          <w:color w:val="auto"/>
          <w:kern w:val="0"/>
          <w:lang w:val="en-US" w:eastAsia="zh-CN"/>
        </w:rPr>
        <w:t>4.</w:t>
      </w:r>
      <w:r>
        <w:rPr>
          <w:rFonts w:hint="eastAsia" w:ascii="宋体" w:hAnsi="宋体" w:eastAsia="宋体" w:cs="宋体"/>
          <w:color w:val="auto"/>
          <w:kern w:val="0"/>
          <w:lang w:eastAsia="zh-CN"/>
        </w:rPr>
        <w:t>▲主机（包括屏幕）重量≤11kg，</w:t>
      </w:r>
      <w:r>
        <w:rPr>
          <w:rFonts w:hint="eastAsia" w:ascii="宋体" w:hAnsi="宋体" w:eastAsia="宋体" w:cs="宋体"/>
          <w:color w:val="auto"/>
          <w:kern w:val="0"/>
          <w:lang w:val="en-US" w:eastAsia="zh-CN"/>
        </w:rPr>
        <w:t>主机具有</w:t>
      </w:r>
      <w:r>
        <w:rPr>
          <w:rFonts w:hint="eastAsia" w:ascii="宋体" w:hAnsi="宋体" w:eastAsia="宋体" w:cs="宋体"/>
          <w:color w:val="auto"/>
          <w:kern w:val="0"/>
          <w:lang w:eastAsia="zh-CN"/>
        </w:rPr>
        <w:t>固定的立式把手（非活动式，不可移动），可从台车一键拆卸，</w:t>
      </w:r>
      <w:r>
        <w:rPr>
          <w:rFonts w:hint="eastAsia" w:ascii="宋体" w:hAnsi="宋体" w:eastAsia="宋体" w:cs="宋体"/>
          <w:color w:val="auto"/>
          <w:kern w:val="0"/>
          <w:lang w:val="en-US" w:eastAsia="zh-CN"/>
        </w:rPr>
        <w:t>台车可承载氧气钢瓶，方便转运</w:t>
      </w:r>
      <w:r>
        <w:rPr>
          <w:rFonts w:hint="eastAsia" w:ascii="宋体" w:hAnsi="宋体" w:eastAsia="宋体" w:cs="宋体"/>
          <w:color w:val="auto"/>
          <w:kern w:val="0"/>
          <w:lang w:eastAsia="zh-CN"/>
        </w:rPr>
        <w:t>。</w:t>
      </w:r>
    </w:p>
    <w:p>
      <w:pPr>
        <w:numPr>
          <w:ilvl w:val="0"/>
          <w:numId w:val="0"/>
        </w:numPr>
        <w:spacing w:line="360" w:lineRule="exact"/>
        <w:rPr>
          <w:rFonts w:hint="eastAsia" w:ascii="宋体" w:hAnsi="宋体" w:eastAsia="宋体" w:cs="宋体"/>
          <w:color w:val="auto"/>
          <w:kern w:val="0"/>
          <w:lang w:eastAsia="zh-CN"/>
        </w:rPr>
      </w:pPr>
      <w:r>
        <w:rPr>
          <w:rFonts w:hint="eastAsia" w:ascii="宋体" w:hAnsi="宋体" w:eastAsia="宋体" w:cs="宋体"/>
          <w:color w:val="auto"/>
          <w:kern w:val="0"/>
          <w:lang w:val="en-US" w:eastAsia="zh-CN"/>
        </w:rPr>
        <w:t>5.</w:t>
      </w:r>
      <w:r>
        <w:rPr>
          <w:rFonts w:hint="eastAsia" w:ascii="宋体" w:hAnsi="宋体" w:eastAsia="宋体" w:cs="宋体"/>
          <w:color w:val="auto"/>
          <w:kern w:val="0"/>
          <w:lang w:eastAsia="zh-CN"/>
        </w:rPr>
        <w:t>提供高压氧气气源和低压氧气气源两种方式。</w:t>
      </w:r>
    </w:p>
    <w:p>
      <w:pPr>
        <w:numPr>
          <w:ilvl w:val="0"/>
          <w:numId w:val="0"/>
        </w:numPr>
        <w:spacing w:line="360" w:lineRule="exact"/>
        <w:rPr>
          <w:rFonts w:hint="eastAsia" w:ascii="宋体" w:hAnsi="宋体" w:eastAsia="宋体" w:cs="宋体"/>
          <w:color w:val="auto"/>
          <w:kern w:val="0"/>
          <w:lang w:eastAsia="zh-CN"/>
        </w:rPr>
      </w:pPr>
      <w:r>
        <w:rPr>
          <w:rFonts w:hint="eastAsia" w:ascii="宋体" w:hAnsi="宋体" w:eastAsia="宋体" w:cs="宋体"/>
          <w:color w:val="auto"/>
          <w:kern w:val="0"/>
          <w:lang w:val="en-US" w:eastAsia="zh-CN"/>
        </w:rPr>
        <w:t>6.</w:t>
      </w:r>
      <w:r>
        <w:rPr>
          <w:rFonts w:hint="eastAsia" w:ascii="宋体" w:hAnsi="宋体" w:eastAsia="宋体" w:cs="宋体"/>
          <w:color w:val="auto"/>
          <w:kern w:val="0"/>
          <w:lang w:eastAsia="zh-CN"/>
        </w:rPr>
        <w:t>支持升级12V直流电供电接口。</w:t>
      </w:r>
    </w:p>
    <w:p>
      <w:pPr>
        <w:numPr>
          <w:ilvl w:val="0"/>
          <w:numId w:val="0"/>
        </w:numPr>
        <w:spacing w:line="360" w:lineRule="exact"/>
        <w:rPr>
          <w:rFonts w:hint="eastAsia" w:ascii="宋体" w:hAnsi="宋体" w:eastAsia="宋体" w:cs="宋体"/>
          <w:color w:val="auto"/>
          <w:kern w:val="0"/>
          <w:lang w:eastAsia="zh-CN"/>
        </w:rPr>
      </w:pPr>
      <w:r>
        <w:rPr>
          <w:rFonts w:hint="eastAsia" w:ascii="宋体" w:hAnsi="宋体" w:eastAsia="宋体" w:cs="宋体"/>
          <w:color w:val="auto"/>
          <w:kern w:val="0"/>
          <w:lang w:val="en-US" w:eastAsia="zh-CN"/>
        </w:rPr>
        <w:t>7.</w:t>
      </w:r>
      <w:r>
        <w:rPr>
          <w:rFonts w:hint="eastAsia" w:ascii="宋体" w:hAnsi="宋体" w:eastAsia="宋体" w:cs="宋体"/>
          <w:color w:val="auto"/>
          <w:kern w:val="0"/>
          <w:lang w:eastAsia="zh-CN"/>
        </w:rPr>
        <w:t>▲</w:t>
      </w:r>
      <w:r>
        <w:rPr>
          <w:rFonts w:hint="eastAsia" w:ascii="宋体" w:hAnsi="宋体" w:eastAsia="宋体" w:cs="宋体"/>
          <w:color w:val="auto"/>
          <w:kern w:val="0"/>
          <w:lang w:val="en-US" w:eastAsia="zh-CN"/>
        </w:rPr>
        <w:t>具备</w:t>
      </w:r>
      <w:r>
        <w:rPr>
          <w:rFonts w:hint="eastAsia" w:ascii="宋体" w:hAnsi="宋体" w:eastAsia="宋体" w:cs="宋体"/>
          <w:color w:val="auto"/>
          <w:kern w:val="0"/>
          <w:lang w:eastAsia="zh-CN"/>
        </w:rPr>
        <w:t>通气模式包括：容量控制通气下的辅助控制通气A/C和同步间歇指令通气SIMV、压力控制通气下的辅助控制通气A/C和同步间歇指令通气SIMV、持续气道正压通气和压力支持CPAP/PSV、双水平气道正压通气（如BIPAP或DuoLevel或BiLevel）、压力调节容量控制通气PRVC及其压力调节容量控制同步间歇指令通气PRVC</w:t>
      </w:r>
      <w:r>
        <w:rPr>
          <w:rFonts w:hint="eastAsia" w:ascii="宋体" w:hAnsi="宋体" w:eastAsia="宋体" w:cs="宋体"/>
          <w:color w:val="auto"/>
          <w:kern w:val="0"/>
          <w:lang w:val="en-US" w:eastAsia="zh-CN"/>
        </w:rPr>
        <w:t>-</w:t>
      </w:r>
      <w:r>
        <w:rPr>
          <w:rFonts w:hint="eastAsia" w:ascii="宋体" w:hAnsi="宋体" w:eastAsia="宋体" w:cs="宋体"/>
          <w:color w:val="auto"/>
          <w:kern w:val="0"/>
          <w:lang w:eastAsia="zh-CN"/>
        </w:rPr>
        <w:t>SIMV、自适应支持通气（</w:t>
      </w:r>
      <w:r>
        <w:rPr>
          <w:rFonts w:hint="eastAsia" w:ascii="宋体" w:hAnsi="宋体" w:eastAsia="宋体" w:cs="宋体"/>
          <w:color w:val="auto"/>
          <w:kern w:val="0"/>
          <w:lang w:val="en-US" w:eastAsia="zh-CN"/>
        </w:rPr>
        <w:t>如AMV或ASV</w:t>
      </w:r>
      <w:r>
        <w:rPr>
          <w:rFonts w:hint="eastAsia" w:ascii="宋体" w:hAnsi="宋体" w:eastAsia="宋体" w:cs="宋体"/>
          <w:color w:val="auto"/>
          <w:kern w:val="0"/>
          <w:lang w:eastAsia="zh-CN"/>
        </w:rPr>
        <w:t>）、</w:t>
      </w:r>
      <w:r>
        <w:rPr>
          <w:rFonts w:hint="eastAsia" w:ascii="宋体" w:hAnsi="宋体" w:eastAsia="宋体" w:cs="宋体"/>
          <w:color w:val="auto"/>
          <w:kern w:val="0"/>
          <w:lang w:val="en-US" w:eastAsia="zh-CN"/>
        </w:rPr>
        <w:t>无创通气模式以及</w:t>
      </w:r>
      <w:r>
        <w:rPr>
          <w:rFonts w:hint="eastAsia" w:ascii="宋体" w:hAnsi="宋体" w:eastAsia="宋体" w:cs="宋体"/>
          <w:color w:val="auto"/>
          <w:kern w:val="0"/>
          <w:lang w:eastAsia="zh-CN"/>
        </w:rPr>
        <w:t>氧疗</w:t>
      </w:r>
      <w:r>
        <w:rPr>
          <w:rFonts w:hint="eastAsia" w:ascii="宋体" w:hAnsi="宋体" w:eastAsia="宋体" w:cs="宋体"/>
          <w:color w:val="auto"/>
          <w:kern w:val="0"/>
          <w:lang w:val="en-US" w:eastAsia="zh-CN"/>
        </w:rPr>
        <w:t>模式，其中</w:t>
      </w:r>
      <w:r>
        <w:rPr>
          <w:rFonts w:hint="eastAsia" w:ascii="宋体" w:hAnsi="宋体" w:eastAsia="宋体" w:cs="宋体"/>
          <w:color w:val="auto"/>
          <w:kern w:val="0"/>
          <w:lang w:eastAsia="zh-CN"/>
        </w:rPr>
        <w:t>氧疗模式流速≥80L/min。</w:t>
      </w:r>
    </w:p>
    <w:p>
      <w:pPr>
        <w:numPr>
          <w:ilvl w:val="0"/>
          <w:numId w:val="0"/>
        </w:numPr>
        <w:spacing w:line="360" w:lineRule="exact"/>
        <w:rPr>
          <w:rFonts w:hint="eastAsia" w:ascii="宋体" w:hAnsi="宋体" w:eastAsia="宋体" w:cs="宋体"/>
          <w:color w:val="auto"/>
          <w:kern w:val="0"/>
          <w:lang w:eastAsia="zh-CN"/>
        </w:rPr>
      </w:pPr>
      <w:r>
        <w:rPr>
          <w:rFonts w:hint="eastAsia" w:ascii="宋体" w:hAnsi="宋体" w:eastAsia="宋体" w:cs="宋体"/>
          <w:color w:val="auto"/>
          <w:kern w:val="0"/>
          <w:lang w:val="en-US" w:eastAsia="zh-CN"/>
        </w:rPr>
        <w:t>8.</w:t>
      </w:r>
      <w:r>
        <w:rPr>
          <w:rFonts w:hint="eastAsia" w:ascii="宋体" w:hAnsi="宋体" w:eastAsia="宋体" w:cs="宋体"/>
          <w:color w:val="auto"/>
          <w:kern w:val="0"/>
          <w:lang w:eastAsia="zh-CN"/>
        </w:rPr>
        <w:t>▲容量模式流速波形可调方波、50%和100%递减波。</w:t>
      </w:r>
    </w:p>
    <w:p>
      <w:pPr>
        <w:numPr>
          <w:ilvl w:val="0"/>
          <w:numId w:val="0"/>
        </w:numPr>
        <w:spacing w:line="360" w:lineRule="exact"/>
        <w:rPr>
          <w:rFonts w:hint="eastAsia" w:ascii="宋体" w:hAnsi="宋体" w:eastAsia="宋体" w:cs="宋体"/>
          <w:color w:val="auto"/>
          <w:kern w:val="0"/>
          <w:lang w:eastAsia="zh-CN"/>
        </w:rPr>
      </w:pPr>
      <w:r>
        <w:rPr>
          <w:rFonts w:hint="eastAsia" w:ascii="宋体" w:hAnsi="宋体" w:eastAsia="宋体" w:cs="宋体"/>
          <w:color w:val="auto"/>
          <w:kern w:val="0"/>
          <w:lang w:val="en-US" w:eastAsia="zh-CN"/>
        </w:rPr>
        <w:t>9.</w:t>
      </w:r>
      <w:r>
        <w:rPr>
          <w:rFonts w:hint="eastAsia" w:ascii="宋体" w:hAnsi="宋体" w:eastAsia="宋体" w:cs="宋体"/>
          <w:color w:val="auto"/>
          <w:kern w:val="0"/>
          <w:lang w:eastAsia="zh-CN"/>
        </w:rPr>
        <w:t>▲支持升级心肺复苏通气模式（如CPRV、CPR mode等）、压力释放通气APRV。</w:t>
      </w:r>
    </w:p>
    <w:p>
      <w:pPr>
        <w:numPr>
          <w:ilvl w:val="0"/>
          <w:numId w:val="0"/>
        </w:numPr>
        <w:spacing w:line="360" w:lineRule="exact"/>
        <w:rPr>
          <w:rFonts w:hint="eastAsia" w:ascii="宋体" w:hAnsi="宋体" w:eastAsia="宋体" w:cs="宋体"/>
          <w:color w:val="auto"/>
          <w:kern w:val="0"/>
          <w:lang w:eastAsia="zh-CN"/>
        </w:rPr>
      </w:pPr>
      <w:r>
        <w:rPr>
          <w:rFonts w:hint="eastAsia" w:ascii="宋体" w:hAnsi="宋体" w:eastAsia="宋体" w:cs="宋体"/>
          <w:color w:val="auto"/>
          <w:kern w:val="0"/>
          <w:lang w:val="en-US" w:eastAsia="zh-CN"/>
        </w:rPr>
        <w:t>10.</w:t>
      </w:r>
      <w:r>
        <w:rPr>
          <w:rFonts w:hint="eastAsia" w:ascii="宋体" w:hAnsi="宋体" w:eastAsia="宋体" w:cs="宋体"/>
          <w:color w:val="auto"/>
          <w:kern w:val="0"/>
          <w:lang w:eastAsia="zh-CN"/>
        </w:rPr>
        <w:t>具备无创通气模式，包含P-A/C、P-SIMV、CPAP/PSV、DuoLevel和 PSV-S/T等模式。</w:t>
      </w:r>
    </w:p>
    <w:p>
      <w:pPr>
        <w:numPr>
          <w:ilvl w:val="0"/>
          <w:numId w:val="0"/>
        </w:numPr>
        <w:spacing w:line="360" w:lineRule="exact"/>
        <w:rPr>
          <w:rFonts w:hint="eastAsia" w:ascii="宋体" w:hAnsi="宋体" w:eastAsia="宋体" w:cs="宋体"/>
          <w:color w:val="auto"/>
          <w:kern w:val="0"/>
          <w:lang w:eastAsia="zh-CN"/>
        </w:rPr>
      </w:pPr>
      <w:r>
        <w:rPr>
          <w:rFonts w:hint="eastAsia" w:ascii="宋体" w:hAnsi="宋体" w:eastAsia="宋体" w:cs="宋体"/>
          <w:color w:val="auto"/>
          <w:kern w:val="0"/>
          <w:lang w:val="en-US" w:eastAsia="zh-CN"/>
        </w:rPr>
        <w:t>11.</w:t>
      </w:r>
      <w:r>
        <w:rPr>
          <w:rFonts w:hint="eastAsia" w:ascii="宋体" w:hAnsi="宋体" w:eastAsia="宋体" w:cs="宋体"/>
          <w:color w:val="auto"/>
          <w:kern w:val="0"/>
          <w:lang w:eastAsia="zh-CN"/>
        </w:rPr>
        <w:t>▲标配高流量氧疗，最大氧流速：80L/min，最大氧浓度：100%。</w:t>
      </w:r>
    </w:p>
    <w:p>
      <w:pPr>
        <w:numPr>
          <w:ilvl w:val="0"/>
          <w:numId w:val="0"/>
        </w:numPr>
        <w:spacing w:line="360" w:lineRule="exact"/>
        <w:rPr>
          <w:rFonts w:hint="eastAsia" w:ascii="宋体" w:hAnsi="宋体" w:eastAsia="宋体" w:cs="宋体"/>
          <w:color w:val="auto"/>
          <w:kern w:val="0"/>
          <w:lang w:eastAsia="zh-CN"/>
        </w:rPr>
      </w:pPr>
      <w:r>
        <w:rPr>
          <w:rFonts w:hint="eastAsia" w:ascii="宋体" w:hAnsi="宋体" w:eastAsia="宋体" w:cs="宋体"/>
          <w:color w:val="auto"/>
          <w:kern w:val="0"/>
          <w:lang w:val="en-US" w:eastAsia="zh-CN"/>
        </w:rPr>
        <w:t>12.</w:t>
      </w:r>
      <w:r>
        <w:rPr>
          <w:rFonts w:hint="eastAsia" w:ascii="宋体" w:hAnsi="宋体" w:eastAsia="宋体" w:cs="宋体"/>
          <w:color w:val="auto"/>
          <w:kern w:val="0"/>
          <w:lang w:eastAsia="zh-CN"/>
        </w:rPr>
        <w:t>支持显示≥72小时的全部监测参数趋势图、表分析，报警和操作日志记录</w:t>
      </w:r>
      <w:r>
        <w:rPr>
          <w:rFonts w:hint="eastAsia" w:ascii="宋体" w:hAnsi="宋体" w:eastAsia="宋体" w:cs="宋体"/>
          <w:color w:val="auto"/>
          <w:kern w:val="0"/>
          <w:lang w:val="en-US" w:eastAsia="zh-CN"/>
        </w:rPr>
        <w:t>≥</w:t>
      </w:r>
      <w:r>
        <w:rPr>
          <w:rFonts w:hint="eastAsia" w:ascii="宋体" w:hAnsi="宋体" w:eastAsia="宋体" w:cs="宋体"/>
          <w:color w:val="auto"/>
          <w:kern w:val="0"/>
          <w:lang w:eastAsia="zh-CN"/>
        </w:rPr>
        <w:t>5000条。</w:t>
      </w:r>
    </w:p>
    <w:p>
      <w:pPr>
        <w:numPr>
          <w:ilvl w:val="0"/>
          <w:numId w:val="0"/>
        </w:numPr>
        <w:spacing w:line="360" w:lineRule="exact"/>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13.</w:t>
      </w:r>
      <w:r>
        <w:rPr>
          <w:rFonts w:hint="eastAsia" w:ascii="宋体" w:hAnsi="宋体" w:eastAsia="宋体" w:cs="宋体"/>
          <w:color w:val="auto"/>
          <w:kern w:val="0"/>
          <w:lang w:eastAsia="zh-CN"/>
        </w:rPr>
        <w:t>▲具备智能同步技术，可提高病人自主呼吸时的舒适度和人机同步性，吸气触发、呼气触发和压力上升时间</w:t>
      </w:r>
      <w:r>
        <w:rPr>
          <w:rFonts w:hint="eastAsia" w:ascii="宋体" w:hAnsi="宋体" w:eastAsia="宋体" w:cs="宋体"/>
          <w:color w:val="auto"/>
          <w:kern w:val="0"/>
          <w:lang w:val="en-US" w:eastAsia="zh-CN"/>
        </w:rPr>
        <w:t>可</w:t>
      </w:r>
      <w:r>
        <w:rPr>
          <w:rFonts w:hint="eastAsia" w:ascii="宋体" w:hAnsi="宋体" w:eastAsia="宋体" w:cs="宋体"/>
          <w:color w:val="auto"/>
          <w:kern w:val="0"/>
          <w:lang w:eastAsia="zh-CN"/>
        </w:rPr>
        <w:t>自动调节。</w:t>
      </w:r>
    </w:p>
    <w:p>
      <w:pPr>
        <w:numPr>
          <w:ilvl w:val="0"/>
          <w:numId w:val="0"/>
        </w:numPr>
        <w:spacing w:line="360" w:lineRule="exact"/>
        <w:rPr>
          <w:rFonts w:hint="eastAsia" w:ascii="宋体" w:hAnsi="宋体" w:eastAsia="宋体" w:cs="宋体"/>
          <w:color w:val="auto"/>
          <w:kern w:val="0"/>
          <w:lang w:eastAsia="zh-CN"/>
        </w:rPr>
      </w:pPr>
      <w:bookmarkStart w:id="1" w:name="OLE_LINK3"/>
      <w:r>
        <w:rPr>
          <w:rFonts w:hint="eastAsia" w:ascii="宋体" w:hAnsi="宋体" w:eastAsia="宋体" w:cs="宋体"/>
          <w:color w:val="auto"/>
          <w:kern w:val="0"/>
          <w:lang w:val="en-US" w:eastAsia="zh-CN"/>
        </w:rPr>
        <w:t>14.具备超声氧传感器和化学氧传感器。</w:t>
      </w:r>
    </w:p>
    <w:bookmarkEnd w:id="1"/>
    <w:p>
      <w:pPr>
        <w:numPr>
          <w:ilvl w:val="0"/>
          <w:numId w:val="0"/>
        </w:numPr>
        <w:spacing w:line="360" w:lineRule="exact"/>
        <w:rPr>
          <w:rFonts w:hint="eastAsia" w:ascii="宋体" w:hAnsi="宋体" w:eastAsia="宋体" w:cs="宋体"/>
          <w:color w:val="auto"/>
          <w:kern w:val="0"/>
          <w:lang w:eastAsia="zh-CN"/>
        </w:rPr>
      </w:pPr>
      <w:r>
        <w:rPr>
          <w:rFonts w:hint="eastAsia" w:ascii="宋体" w:hAnsi="宋体" w:eastAsia="宋体" w:cs="宋体"/>
          <w:color w:val="auto"/>
          <w:kern w:val="0"/>
          <w:lang w:val="en-US" w:eastAsia="zh-CN"/>
        </w:rPr>
        <w:t>15.</w:t>
      </w:r>
      <w:r>
        <w:rPr>
          <w:rFonts w:hint="eastAsia" w:ascii="宋体" w:hAnsi="宋体" w:eastAsia="宋体" w:cs="宋体"/>
          <w:color w:val="auto"/>
          <w:kern w:val="0"/>
          <w:lang w:eastAsia="zh-CN"/>
        </w:rPr>
        <w:t>潮气量范围于：20ml～2000ml。</w:t>
      </w:r>
    </w:p>
    <w:p>
      <w:pPr>
        <w:numPr>
          <w:ilvl w:val="0"/>
          <w:numId w:val="0"/>
        </w:numPr>
        <w:spacing w:line="360" w:lineRule="exact"/>
        <w:rPr>
          <w:rFonts w:hint="eastAsia" w:ascii="宋体" w:hAnsi="宋体" w:eastAsia="宋体" w:cs="宋体"/>
          <w:color w:val="auto"/>
          <w:kern w:val="0"/>
          <w:lang w:eastAsia="zh-CN"/>
        </w:rPr>
      </w:pPr>
      <w:r>
        <w:rPr>
          <w:rFonts w:hint="eastAsia" w:ascii="宋体" w:hAnsi="宋体" w:eastAsia="宋体" w:cs="宋体"/>
          <w:color w:val="auto"/>
          <w:kern w:val="0"/>
          <w:lang w:val="en-US" w:eastAsia="zh-CN"/>
        </w:rPr>
        <w:t>16.</w:t>
      </w:r>
      <w:r>
        <w:rPr>
          <w:rFonts w:hint="eastAsia" w:ascii="宋体" w:hAnsi="宋体" w:eastAsia="宋体" w:cs="宋体"/>
          <w:color w:val="auto"/>
          <w:kern w:val="0"/>
          <w:lang w:eastAsia="zh-CN"/>
        </w:rPr>
        <w:t>呼吸频率范围：1～100次/min，吸气时间：0.1～10s，吸气压力范围：5～80 cmH₂O。</w:t>
      </w:r>
    </w:p>
    <w:p>
      <w:pPr>
        <w:numPr>
          <w:ilvl w:val="0"/>
          <w:numId w:val="0"/>
        </w:numPr>
        <w:spacing w:line="360" w:lineRule="exact"/>
        <w:rPr>
          <w:rFonts w:hint="eastAsia" w:ascii="宋体" w:hAnsi="宋体" w:eastAsia="宋体" w:cs="宋体"/>
          <w:color w:val="auto"/>
          <w:kern w:val="0"/>
          <w:lang w:eastAsia="zh-CN"/>
        </w:rPr>
      </w:pPr>
      <w:r>
        <w:rPr>
          <w:rFonts w:hint="eastAsia" w:ascii="宋体" w:hAnsi="宋体" w:eastAsia="宋体" w:cs="宋体"/>
          <w:color w:val="auto"/>
          <w:kern w:val="0"/>
          <w:lang w:val="en-US" w:eastAsia="zh-CN"/>
        </w:rPr>
        <w:t>17.</w:t>
      </w:r>
      <w:r>
        <w:rPr>
          <w:rFonts w:hint="eastAsia" w:ascii="宋体" w:hAnsi="宋体" w:eastAsia="宋体" w:cs="宋体"/>
          <w:color w:val="auto"/>
          <w:kern w:val="0"/>
          <w:lang w:eastAsia="zh-CN"/>
        </w:rPr>
        <w:t>▲压力触发灵敏度：-20～-0.5cmH₂O。压力支持：0～80cmH₂O。</w:t>
      </w:r>
    </w:p>
    <w:p>
      <w:pPr>
        <w:numPr>
          <w:ilvl w:val="0"/>
          <w:numId w:val="0"/>
        </w:numPr>
        <w:spacing w:line="360" w:lineRule="exact"/>
        <w:rPr>
          <w:rFonts w:hint="eastAsia" w:ascii="宋体" w:hAnsi="宋体" w:eastAsia="宋体" w:cs="宋体"/>
          <w:color w:val="auto"/>
          <w:kern w:val="0"/>
          <w:lang w:eastAsia="zh-CN"/>
        </w:rPr>
      </w:pPr>
      <w:r>
        <w:rPr>
          <w:rFonts w:hint="eastAsia" w:ascii="宋体" w:hAnsi="宋体" w:eastAsia="宋体" w:cs="宋体"/>
          <w:color w:val="auto"/>
          <w:kern w:val="0"/>
          <w:lang w:val="en-US" w:eastAsia="zh-CN"/>
        </w:rPr>
        <w:t>18.</w:t>
      </w:r>
      <w:r>
        <w:rPr>
          <w:rFonts w:hint="eastAsia" w:ascii="宋体" w:hAnsi="宋体" w:eastAsia="宋体" w:cs="宋体"/>
          <w:color w:val="auto"/>
          <w:kern w:val="0"/>
          <w:lang w:eastAsia="zh-CN"/>
        </w:rPr>
        <w:t>▲流速触发灵敏度：0.5～20L/ min。呼气触发灵敏度：1-80%（手动可调）。</w:t>
      </w:r>
    </w:p>
    <w:p>
      <w:pPr>
        <w:numPr>
          <w:ilvl w:val="0"/>
          <w:numId w:val="0"/>
        </w:numPr>
        <w:spacing w:line="360" w:lineRule="exact"/>
        <w:rPr>
          <w:rFonts w:hint="eastAsia" w:ascii="宋体" w:hAnsi="宋体" w:eastAsia="宋体" w:cs="宋体"/>
          <w:color w:val="auto"/>
          <w:kern w:val="0"/>
          <w:lang w:eastAsia="zh-CN"/>
        </w:rPr>
      </w:pPr>
      <w:r>
        <w:rPr>
          <w:rFonts w:hint="eastAsia" w:ascii="宋体" w:hAnsi="宋体" w:eastAsia="宋体" w:cs="宋体"/>
          <w:color w:val="auto"/>
          <w:kern w:val="0"/>
          <w:lang w:val="en-US" w:eastAsia="zh-CN"/>
        </w:rPr>
        <w:t>19.</w:t>
      </w:r>
      <w:r>
        <w:rPr>
          <w:rFonts w:hint="eastAsia" w:ascii="宋体" w:hAnsi="宋体" w:eastAsia="宋体" w:cs="宋体"/>
          <w:color w:val="auto"/>
          <w:kern w:val="0"/>
          <w:lang w:eastAsia="zh-CN"/>
        </w:rPr>
        <w:t>监测参数</w:t>
      </w:r>
      <w:r>
        <w:rPr>
          <w:rFonts w:hint="eastAsia" w:ascii="宋体" w:hAnsi="宋体" w:eastAsia="宋体" w:cs="宋体"/>
          <w:color w:val="auto"/>
          <w:kern w:val="0"/>
          <w:lang w:val="en-US" w:eastAsia="zh-CN"/>
        </w:rPr>
        <w:t>包括</w:t>
      </w:r>
      <w:r>
        <w:rPr>
          <w:rFonts w:hint="eastAsia" w:ascii="宋体" w:hAnsi="宋体" w:eastAsia="宋体" w:cs="宋体"/>
          <w:color w:val="auto"/>
          <w:kern w:val="0"/>
          <w:lang w:eastAsia="zh-CN"/>
        </w:rPr>
        <w:t>：气道峰压、平台压、平均压、呼气末正压、呼气分钟通气量、吸气分钟通气量、自主呼吸分钟通气量、分钟泄漏量、气体泄漏百分比、吸入潮气量、呼出潮气量、自主呼吸潮气量、单位理想体重呼出潮气量（如TVe/IBW或VT/PBW）。</w:t>
      </w:r>
    </w:p>
    <w:p>
      <w:pPr>
        <w:numPr>
          <w:ilvl w:val="0"/>
          <w:numId w:val="0"/>
        </w:numPr>
        <w:spacing w:line="360" w:lineRule="exact"/>
        <w:rPr>
          <w:rFonts w:hint="eastAsia" w:ascii="宋体" w:hAnsi="宋体" w:eastAsia="宋体" w:cs="宋体"/>
          <w:color w:val="auto"/>
          <w:kern w:val="0"/>
          <w:lang w:eastAsia="zh-CN"/>
        </w:rPr>
      </w:pPr>
      <w:bookmarkStart w:id="2" w:name="OLE_LINK1"/>
      <w:r>
        <w:rPr>
          <w:rFonts w:hint="eastAsia" w:ascii="宋体" w:hAnsi="宋体" w:eastAsia="宋体" w:cs="宋体"/>
          <w:color w:val="auto"/>
          <w:kern w:val="0"/>
          <w:lang w:val="en-US" w:eastAsia="zh-CN"/>
        </w:rPr>
        <w:t>20.</w:t>
      </w:r>
      <w:bookmarkStart w:id="3" w:name="OLE_LINK2"/>
      <w:r>
        <w:rPr>
          <w:rFonts w:hint="eastAsia" w:ascii="宋体" w:hAnsi="宋体" w:eastAsia="宋体" w:cs="宋体"/>
          <w:color w:val="auto"/>
          <w:kern w:val="0"/>
          <w:lang w:val="en-US" w:eastAsia="zh-CN"/>
        </w:rPr>
        <w:t>配置2块锂电池，</w:t>
      </w:r>
      <w:r>
        <w:rPr>
          <w:rFonts w:hint="eastAsia" w:ascii="宋体" w:hAnsi="宋体" w:eastAsia="宋体" w:cs="宋体"/>
          <w:color w:val="auto"/>
          <w:kern w:val="0"/>
          <w:lang w:eastAsia="zh-CN"/>
        </w:rPr>
        <w:t>供电时间</w:t>
      </w:r>
      <w:r>
        <w:rPr>
          <w:rFonts w:hint="eastAsia" w:ascii="宋体" w:hAnsi="宋体" w:eastAsia="宋体" w:cs="宋体"/>
          <w:color w:val="auto"/>
          <w:kern w:val="0"/>
          <w:lang w:val="en-US" w:eastAsia="zh-CN"/>
        </w:rPr>
        <w:t>≥</w:t>
      </w:r>
      <w:r>
        <w:rPr>
          <w:rFonts w:hint="eastAsia" w:ascii="宋体" w:hAnsi="宋体" w:eastAsia="宋体" w:cs="宋体"/>
          <w:color w:val="auto"/>
          <w:kern w:val="0"/>
          <w:lang w:eastAsia="zh-CN"/>
        </w:rPr>
        <w:t>4小时。</w:t>
      </w:r>
      <w:bookmarkEnd w:id="3"/>
    </w:p>
    <w:bookmarkEnd w:id="2"/>
    <w:p>
      <w:pPr>
        <w:numPr>
          <w:ilvl w:val="0"/>
          <w:numId w:val="0"/>
        </w:numPr>
        <w:spacing w:line="360" w:lineRule="exact"/>
        <w:rPr>
          <w:rFonts w:hint="eastAsia" w:ascii="宋体" w:hAnsi="宋体" w:eastAsia="宋体" w:cs="宋体"/>
          <w:color w:val="auto"/>
          <w:kern w:val="0"/>
          <w:lang w:eastAsia="zh-CN"/>
        </w:rPr>
      </w:pPr>
      <w:r>
        <w:rPr>
          <w:rFonts w:hint="eastAsia" w:ascii="宋体" w:hAnsi="宋体" w:eastAsia="宋体" w:cs="宋体"/>
          <w:color w:val="auto"/>
          <w:kern w:val="0"/>
          <w:lang w:val="en-US" w:eastAsia="zh-CN"/>
        </w:rPr>
        <w:t>21.</w:t>
      </w:r>
      <w:r>
        <w:rPr>
          <w:rFonts w:hint="eastAsia" w:ascii="宋体" w:hAnsi="宋体" w:eastAsia="宋体" w:cs="宋体"/>
          <w:color w:val="auto"/>
          <w:kern w:val="0"/>
          <w:lang w:eastAsia="zh-CN"/>
        </w:rPr>
        <w:t>信息互连：</w:t>
      </w:r>
      <w:r>
        <w:rPr>
          <w:rFonts w:hint="eastAsia" w:ascii="宋体" w:hAnsi="宋体" w:eastAsia="宋体" w:cs="宋体"/>
          <w:color w:val="auto"/>
          <w:kern w:val="0"/>
          <w:lang w:val="en-US" w:eastAsia="zh-CN"/>
        </w:rPr>
        <w:t>具备与</w:t>
      </w:r>
      <w:r>
        <w:rPr>
          <w:rFonts w:hint="eastAsia" w:ascii="宋体" w:hAnsi="宋体" w:eastAsia="宋体" w:cs="宋体"/>
          <w:color w:val="auto"/>
          <w:kern w:val="0"/>
          <w:lang w:eastAsia="zh-CN"/>
        </w:rPr>
        <w:t>同一品牌监护仪互联，呼吸机的监测参数和波形</w:t>
      </w:r>
      <w:r>
        <w:rPr>
          <w:rFonts w:hint="eastAsia" w:ascii="宋体" w:hAnsi="宋体" w:eastAsia="宋体" w:cs="宋体"/>
          <w:color w:val="auto"/>
          <w:kern w:val="0"/>
          <w:lang w:val="en-US" w:eastAsia="zh-CN"/>
        </w:rPr>
        <w:t>可</w:t>
      </w:r>
      <w:r>
        <w:rPr>
          <w:rFonts w:hint="eastAsia" w:ascii="宋体" w:hAnsi="宋体" w:eastAsia="宋体" w:cs="宋体"/>
          <w:color w:val="auto"/>
          <w:kern w:val="0"/>
          <w:lang w:eastAsia="zh-CN"/>
        </w:rPr>
        <w:t>实时显示到监护仪上，</w:t>
      </w:r>
      <w:r>
        <w:rPr>
          <w:rFonts w:hint="eastAsia" w:ascii="宋体" w:hAnsi="宋体" w:eastAsia="宋体" w:cs="宋体"/>
          <w:color w:val="auto"/>
          <w:kern w:val="0"/>
          <w:lang w:val="en-US" w:eastAsia="zh-CN"/>
        </w:rPr>
        <w:t>支持</w:t>
      </w:r>
      <w:r>
        <w:rPr>
          <w:rFonts w:hint="eastAsia" w:ascii="宋体" w:hAnsi="宋体" w:eastAsia="宋体" w:cs="宋体"/>
          <w:color w:val="auto"/>
          <w:kern w:val="0"/>
          <w:lang w:eastAsia="zh-CN"/>
        </w:rPr>
        <w:t>连接</w:t>
      </w:r>
      <w:r>
        <w:rPr>
          <w:rFonts w:hint="eastAsia" w:ascii="宋体" w:hAnsi="宋体" w:eastAsia="宋体" w:cs="宋体"/>
          <w:color w:val="auto"/>
          <w:kern w:val="0"/>
          <w:lang w:val="en-US" w:eastAsia="zh-CN"/>
        </w:rPr>
        <w:t>心电</w:t>
      </w:r>
      <w:r>
        <w:rPr>
          <w:rFonts w:hint="eastAsia" w:ascii="宋体" w:hAnsi="宋体" w:eastAsia="宋体" w:cs="宋体"/>
          <w:color w:val="auto"/>
          <w:kern w:val="0"/>
          <w:lang w:eastAsia="zh-CN"/>
        </w:rPr>
        <w:t>中央站、</w:t>
      </w:r>
      <w:r>
        <w:rPr>
          <w:rFonts w:hint="eastAsia" w:ascii="宋体" w:hAnsi="宋体" w:eastAsia="宋体" w:cs="宋体"/>
          <w:color w:val="auto"/>
          <w:kern w:val="0"/>
          <w:lang w:val="en-US" w:eastAsia="zh-CN"/>
        </w:rPr>
        <w:t>医院HIS系统、医院</w:t>
      </w:r>
      <w:r>
        <w:rPr>
          <w:rFonts w:ascii="宋体" w:hAnsi="宋体" w:eastAsia="宋体" w:cs="宋体"/>
          <w:color w:val="auto"/>
          <w:sz w:val="24"/>
          <w:szCs w:val="24"/>
        </w:rPr>
        <w:t>临床信息系统</w:t>
      </w:r>
      <w:r>
        <w:rPr>
          <w:rFonts w:hint="eastAsia" w:ascii="宋体" w:hAnsi="宋体" w:eastAsia="宋体" w:cs="宋体"/>
          <w:color w:val="auto"/>
          <w:kern w:val="0"/>
          <w:lang w:eastAsia="zh-CN"/>
        </w:rPr>
        <w:t>，满足科室信息化的需求，支持HL7协议。</w:t>
      </w:r>
    </w:p>
    <w:p>
      <w:pPr>
        <w:numPr>
          <w:ilvl w:val="0"/>
          <w:numId w:val="0"/>
        </w:numPr>
        <w:spacing w:line="360" w:lineRule="exact"/>
        <w:rPr>
          <w:rFonts w:hint="eastAsia" w:ascii="宋体" w:hAnsi="宋体" w:eastAsia="宋体" w:cs="宋体"/>
          <w:color w:val="auto"/>
          <w:kern w:val="0"/>
          <w:lang w:eastAsia="zh-CN"/>
        </w:rPr>
      </w:pPr>
      <w:r>
        <w:rPr>
          <w:rFonts w:hint="eastAsia" w:ascii="宋体" w:hAnsi="宋体" w:eastAsia="宋体" w:cs="宋体"/>
          <w:color w:val="auto"/>
          <w:kern w:val="0"/>
          <w:lang w:val="en-US" w:eastAsia="zh-CN"/>
        </w:rPr>
        <w:t>22.</w:t>
      </w:r>
      <w:r>
        <w:rPr>
          <w:rFonts w:hint="eastAsia" w:ascii="宋体" w:hAnsi="宋体" w:eastAsia="宋体" w:cs="宋体"/>
          <w:color w:val="auto"/>
          <w:kern w:val="0"/>
          <w:lang w:eastAsia="zh-CN"/>
        </w:rPr>
        <w:t>▲</w:t>
      </w:r>
      <w:r>
        <w:rPr>
          <w:rFonts w:hint="eastAsia" w:ascii="宋体" w:hAnsi="宋体" w:eastAsia="宋体" w:cs="宋体"/>
          <w:color w:val="auto"/>
          <w:kern w:val="0"/>
          <w:lang w:val="en-US" w:eastAsia="zh-CN"/>
        </w:rPr>
        <w:t>主机</w:t>
      </w:r>
      <w:r>
        <w:rPr>
          <w:rFonts w:hint="eastAsia" w:ascii="宋体" w:hAnsi="宋体" w:eastAsia="宋体" w:cs="宋体"/>
          <w:color w:val="auto"/>
          <w:kern w:val="0"/>
          <w:lang w:eastAsia="zh-CN"/>
        </w:rPr>
        <w:t>具备</w:t>
      </w:r>
      <w:r>
        <w:rPr>
          <w:rFonts w:hint="eastAsia" w:ascii="宋体" w:hAnsi="宋体" w:eastAsia="宋体" w:cs="宋体"/>
          <w:color w:val="auto"/>
          <w:kern w:val="0"/>
          <w:lang w:val="en-US" w:eastAsia="zh-CN"/>
        </w:rPr>
        <w:t>非外接的</w:t>
      </w:r>
      <w:r>
        <w:rPr>
          <w:rFonts w:hint="eastAsia" w:ascii="宋体" w:hAnsi="宋体" w:eastAsia="宋体" w:cs="宋体"/>
          <w:color w:val="auto"/>
          <w:kern w:val="0"/>
          <w:lang w:eastAsia="zh-CN"/>
        </w:rPr>
        <w:t>网络接口、USB接口、</w:t>
      </w:r>
      <w:r>
        <w:rPr>
          <w:rFonts w:hint="eastAsia" w:ascii="宋体" w:hAnsi="宋体" w:eastAsia="宋体" w:cs="宋体"/>
          <w:color w:val="auto"/>
          <w:kern w:val="0"/>
          <w:lang w:val="en-US" w:eastAsia="zh-CN"/>
        </w:rPr>
        <w:t>RS232接口，并且支持升级VGA接口（非HDMI接口、非外接）。</w:t>
      </w:r>
    </w:p>
    <w:p>
      <w:pPr>
        <w:numPr>
          <w:ilvl w:val="0"/>
          <w:numId w:val="0"/>
        </w:numPr>
        <w:spacing w:line="360" w:lineRule="exact"/>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23.</w:t>
      </w:r>
      <w:r>
        <w:rPr>
          <w:rFonts w:hint="eastAsia" w:ascii="宋体" w:hAnsi="宋体" w:eastAsia="宋体" w:cs="宋体"/>
          <w:color w:val="auto"/>
          <w:kern w:val="0"/>
          <w:lang w:eastAsia="zh-CN"/>
        </w:rPr>
        <w:t>湿化器</w:t>
      </w:r>
      <w:r>
        <w:rPr>
          <w:rFonts w:hint="eastAsia" w:ascii="宋体" w:hAnsi="宋体" w:eastAsia="宋体" w:cs="宋体"/>
          <w:color w:val="auto"/>
          <w:kern w:val="0"/>
          <w:lang w:val="en-US" w:eastAsia="zh-CN"/>
        </w:rPr>
        <w:t>与主机同品牌</w:t>
      </w:r>
      <w:r>
        <w:rPr>
          <w:rFonts w:hint="eastAsia" w:ascii="宋体" w:hAnsi="宋体" w:eastAsia="宋体" w:cs="宋体"/>
          <w:color w:val="auto"/>
          <w:kern w:val="0"/>
          <w:lang w:eastAsia="zh-CN"/>
        </w:rPr>
        <w:t>，湿化器具有</w:t>
      </w:r>
      <w:r>
        <w:rPr>
          <w:rFonts w:hint="eastAsia" w:ascii="宋体" w:hAnsi="宋体" w:eastAsia="宋体" w:cs="宋体"/>
          <w:color w:val="auto"/>
          <w:kern w:val="0"/>
          <w:lang w:val="en-US" w:eastAsia="zh-CN"/>
        </w:rPr>
        <w:t>≥</w:t>
      </w:r>
      <w:r>
        <w:rPr>
          <w:rFonts w:hint="eastAsia" w:ascii="宋体" w:hAnsi="宋体" w:eastAsia="宋体" w:cs="宋体"/>
          <w:color w:val="auto"/>
          <w:kern w:val="0"/>
          <w:lang w:eastAsia="zh-CN"/>
        </w:rPr>
        <w:t>3英寸触摸屏，并且支持档位调节和温度调节两种模式</w:t>
      </w:r>
      <w:r>
        <w:rPr>
          <w:rFonts w:hint="eastAsia" w:ascii="宋体" w:hAnsi="宋体" w:eastAsia="宋体" w:cs="宋体"/>
          <w:color w:val="auto"/>
          <w:kern w:val="0"/>
          <w:lang w:val="en-US" w:eastAsia="zh-CN"/>
        </w:rPr>
        <w:t>。湿化罐支持重复使用。</w:t>
      </w:r>
    </w:p>
    <w:p>
      <w:pPr>
        <w:numPr>
          <w:ilvl w:val="0"/>
          <w:numId w:val="0"/>
        </w:numPr>
        <w:spacing w:line="360" w:lineRule="exact"/>
        <w:ind w:leftChars="0"/>
        <w:jc w:val="left"/>
        <w:rPr>
          <w:rFonts w:hint="eastAsia"/>
          <w:color w:val="auto"/>
          <w:lang w:val="en-US" w:eastAsia="zh-CN"/>
        </w:rPr>
      </w:pPr>
      <w:r>
        <w:rPr>
          <w:rFonts w:hint="eastAsia"/>
          <w:color w:val="auto"/>
          <w:lang w:val="en-US" w:eastAsia="zh-CN"/>
        </w:rPr>
        <w:t>24.</w:t>
      </w:r>
      <w:r>
        <w:rPr>
          <w:rFonts w:hint="eastAsia" w:ascii="仿宋_GB2312" w:hAnsi="仿宋_GB2312" w:eastAsia="仿宋_GB2312" w:cs="仿宋_GB2312"/>
          <w:color w:val="auto"/>
          <w:lang w:val="en-US" w:eastAsia="zh-CN"/>
        </w:rPr>
        <w:t>★</w:t>
      </w:r>
      <w:r>
        <w:rPr>
          <w:rFonts w:hint="eastAsia"/>
          <w:color w:val="auto"/>
          <w:lang w:val="en-US" w:eastAsia="zh-CN"/>
        </w:rPr>
        <w:t>配置清单：主机1台、台车1台、锂电池2块、氧气钢瓶1个、减压阀1个、氧气管道2根、德标中心氧气接头1个。</w:t>
      </w:r>
    </w:p>
    <w:p>
      <w:pPr>
        <w:numPr>
          <w:ilvl w:val="0"/>
          <w:numId w:val="0"/>
        </w:numPr>
        <w:spacing w:line="360" w:lineRule="exact"/>
        <w:ind w:leftChars="0"/>
        <w:jc w:val="left"/>
        <w:rPr>
          <w:b/>
          <w:bCs/>
          <w:color w:val="auto"/>
        </w:rPr>
      </w:pPr>
      <w:r>
        <w:rPr>
          <w:rFonts w:hint="eastAsia"/>
          <w:b/>
          <w:bCs/>
          <w:color w:val="auto"/>
        </w:rPr>
        <w:t>三、商务要求：</w:t>
      </w:r>
    </w:p>
    <w:p>
      <w:pPr>
        <w:spacing w:line="360" w:lineRule="exact"/>
        <w:rPr>
          <w:rFonts w:hint="eastAsia" w:ascii="宋体" w:hAnsi="宋体" w:cs="宋体"/>
          <w:color w:val="000000"/>
          <w:kern w:val="0"/>
        </w:rPr>
      </w:pPr>
      <w:r>
        <w:rPr>
          <w:rFonts w:hint="eastAsia" w:ascii="宋体" w:hAnsi="宋体" w:cs="宋体"/>
          <w:color w:val="000000"/>
          <w:kern w:val="0"/>
        </w:rPr>
        <w:t>1.合同履行期限及地点</w:t>
      </w:r>
    </w:p>
    <w:p>
      <w:pPr>
        <w:numPr>
          <w:ilvl w:val="0"/>
          <w:numId w:val="0"/>
        </w:numPr>
        <w:spacing w:line="360" w:lineRule="exact"/>
        <w:rPr>
          <w:rFonts w:hint="eastAsia" w:ascii="宋体" w:hAnsi="宋体" w:cs="宋体"/>
          <w:color w:val="000000"/>
          <w:kern w:val="0"/>
        </w:rPr>
      </w:pPr>
      <w:r>
        <w:rPr>
          <w:rFonts w:hint="eastAsia" w:ascii="宋体" w:hAnsi="宋体" w:cs="宋体"/>
          <w:color w:val="000000"/>
          <w:kern w:val="0"/>
        </w:rPr>
        <w:t>1.1 合同履行期限：</w:t>
      </w:r>
      <w:r>
        <w:rPr>
          <w:rFonts w:hint="eastAsia" w:ascii="宋体" w:hAnsi="宋体" w:eastAsia="宋体" w:cs="宋体"/>
          <w:color w:val="000000"/>
          <w:kern w:val="0"/>
          <w:lang w:val="en-US" w:eastAsia="zh-CN"/>
        </w:rPr>
        <w:t>合同签订生效后，收到采购人通知后30日内完成安装调试并交付采购人验收至质保期结束。</w:t>
      </w:r>
    </w:p>
    <w:p>
      <w:pPr>
        <w:spacing w:line="360" w:lineRule="exact"/>
        <w:rPr>
          <w:rFonts w:hint="eastAsia" w:ascii="宋体" w:hAnsi="宋体" w:cs="宋体"/>
          <w:color w:val="000000"/>
          <w:kern w:val="0"/>
        </w:rPr>
      </w:pPr>
      <w:r>
        <w:rPr>
          <w:rFonts w:hint="eastAsia" w:ascii="宋体" w:hAnsi="宋体" w:cs="宋体"/>
          <w:color w:val="000000"/>
          <w:kern w:val="0"/>
        </w:rPr>
        <w:t>1.2 合同履行地点：四川省妇幼保健院。</w:t>
      </w:r>
    </w:p>
    <w:p>
      <w:pPr>
        <w:spacing w:line="360" w:lineRule="exact"/>
        <w:rPr>
          <w:rFonts w:hint="eastAsia" w:ascii="宋体" w:hAnsi="宋体" w:cs="宋体"/>
          <w:color w:val="000000"/>
          <w:kern w:val="0"/>
        </w:rPr>
      </w:pPr>
      <w:r>
        <w:rPr>
          <w:rFonts w:hint="eastAsia" w:ascii="宋体" w:hAnsi="宋体" w:cs="宋体"/>
          <w:color w:val="000000"/>
          <w:kern w:val="0"/>
        </w:rPr>
        <w:t>2.付款方法和条件：</w:t>
      </w:r>
    </w:p>
    <w:p>
      <w:pPr>
        <w:spacing w:line="360" w:lineRule="exact"/>
        <w:rPr>
          <w:rFonts w:hint="eastAsia" w:ascii="宋体" w:hAnsi="宋体" w:eastAsia="宋体" w:cs="宋体"/>
          <w:color w:val="000000"/>
          <w:kern w:val="0"/>
        </w:rPr>
      </w:pPr>
      <w:r>
        <w:rPr>
          <w:rFonts w:hint="eastAsia" w:ascii="宋体" w:hAnsi="宋体" w:eastAsia="宋体" w:cs="宋体"/>
          <w:color w:val="000000"/>
          <w:kern w:val="0"/>
          <w:lang w:val="en-US" w:eastAsia="zh-CN"/>
        </w:rPr>
        <w:t>2.1</w:t>
      </w:r>
      <w:r>
        <w:rPr>
          <w:rFonts w:hint="eastAsia" w:ascii="宋体" w:hAnsi="宋体" w:eastAsia="宋体" w:cs="宋体"/>
          <w:color w:val="000000"/>
          <w:kern w:val="0"/>
        </w:rPr>
        <w:t>甲方验收合格后5日内，乙方须向甲方出具合法有效完整的完税发票及凭证资料，甲方自收到上述发票及凭证资料后</w:t>
      </w:r>
      <w:r>
        <w:rPr>
          <w:rFonts w:hint="eastAsia" w:ascii="宋体" w:hAnsi="宋体" w:eastAsia="宋体" w:cs="宋体"/>
          <w:color w:val="000000"/>
          <w:kern w:val="0"/>
          <w:lang w:val="en-US" w:eastAsia="zh-CN"/>
        </w:rPr>
        <w:t>60</w:t>
      </w:r>
      <w:r>
        <w:rPr>
          <w:rFonts w:hint="eastAsia" w:ascii="宋体" w:hAnsi="宋体" w:eastAsia="宋体" w:cs="宋体"/>
          <w:color w:val="000000"/>
          <w:kern w:val="0"/>
        </w:rPr>
        <w:t xml:space="preserve"> 日内支付合同总价100%的货款给乙方。  </w:t>
      </w:r>
    </w:p>
    <w:p>
      <w:pPr>
        <w:spacing w:line="360" w:lineRule="exact"/>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2.2收取履约保证金形式：乙方在收到甲方通知后7日内、设备安装前，按合同总价 10%支付履约保证金；设备自验收合格之日满 2 年，甲方接到乙方付款申请后 30 个工作日内，甲方一次性无息退还乙方的履约保证金；经验收后乙方履约不合格的，履约保证金不予退还。   履约保证金</w:t>
      </w:r>
      <w:r>
        <w:rPr>
          <w:rFonts w:hint="eastAsia" w:ascii="宋体" w:hAnsi="宋体" w:eastAsia="宋体" w:cs="宋体"/>
          <w:color w:val="000000"/>
          <w:kern w:val="0"/>
          <w:lang w:val="zh-CN" w:eastAsia="zh-CN"/>
        </w:rPr>
        <w:t>以</w:t>
      </w:r>
      <w:r>
        <w:rPr>
          <w:rFonts w:hint="eastAsia" w:ascii="宋体" w:hAnsi="宋体" w:eastAsia="宋体" w:cs="宋体"/>
          <w:color w:val="000000"/>
          <w:kern w:val="0"/>
          <w:lang w:val="en-US" w:eastAsia="zh-CN"/>
        </w:rPr>
        <w:t>转账、</w:t>
      </w:r>
      <w:r>
        <w:rPr>
          <w:rFonts w:hint="eastAsia" w:ascii="宋体" w:hAnsi="宋体" w:eastAsia="宋体" w:cs="宋体"/>
          <w:color w:val="000000"/>
          <w:kern w:val="0"/>
          <w:lang w:val="zh-CN" w:eastAsia="zh-CN"/>
        </w:rPr>
        <w:t>支票、汇票、本票或者金融机构、担保机构出具的保函等非现金形式提交，应注明</w:t>
      </w:r>
      <w:r>
        <w:rPr>
          <w:rFonts w:hint="eastAsia" w:ascii="宋体" w:hAnsi="宋体" w:eastAsia="宋体" w:cs="宋体"/>
          <w:color w:val="000000"/>
          <w:kern w:val="0"/>
          <w:lang w:val="en-US" w:eastAsia="zh-CN"/>
        </w:rPr>
        <w:t>设备名称＋</w:t>
      </w:r>
      <w:r>
        <w:rPr>
          <w:rFonts w:hint="eastAsia" w:ascii="宋体" w:hAnsi="宋体" w:eastAsia="宋体" w:cs="宋体"/>
          <w:color w:val="000000"/>
          <w:kern w:val="0"/>
          <w:lang w:val="zh-CN" w:eastAsia="zh-CN"/>
        </w:rPr>
        <w:t>履约保证金。</w:t>
      </w:r>
      <w:r>
        <w:rPr>
          <w:rFonts w:hint="eastAsia" w:ascii="宋体" w:hAnsi="宋体" w:eastAsia="宋体" w:cs="宋体"/>
          <w:color w:val="000000"/>
          <w:kern w:val="0"/>
          <w:lang w:val="en-US" w:eastAsia="zh-CN"/>
        </w:rPr>
        <w:t xml:space="preserve"> </w:t>
      </w:r>
    </w:p>
    <w:p>
      <w:pPr>
        <w:spacing w:line="360" w:lineRule="exact"/>
        <w:rPr>
          <w:rFonts w:hint="eastAsia" w:ascii="宋体" w:hAnsi="宋体" w:cs="宋体"/>
          <w:color w:val="000000"/>
          <w:kern w:val="0"/>
        </w:rPr>
      </w:pPr>
      <w:r>
        <w:rPr>
          <w:rFonts w:hint="eastAsia" w:ascii="宋体" w:hAnsi="宋体" w:cs="宋体"/>
          <w:color w:val="000000"/>
          <w:kern w:val="0"/>
        </w:rPr>
        <w:t>3.安装调试及验收：</w:t>
      </w:r>
    </w:p>
    <w:p>
      <w:pPr>
        <w:spacing w:line="360" w:lineRule="exact"/>
        <w:rPr>
          <w:rFonts w:hint="eastAsia" w:ascii="宋体" w:hAnsi="宋体" w:cs="宋体"/>
          <w:color w:val="000000"/>
          <w:kern w:val="0"/>
        </w:rPr>
      </w:pPr>
      <w:r>
        <w:rPr>
          <w:rFonts w:hint="eastAsia" w:ascii="宋体" w:hAnsi="宋体" w:cs="宋体"/>
          <w:color w:val="000000"/>
          <w:kern w:val="0"/>
        </w:rPr>
        <w:t>3.1中标人负责货物安装、调试。</w:t>
      </w:r>
    </w:p>
    <w:p>
      <w:pPr>
        <w:spacing w:line="360" w:lineRule="exact"/>
        <w:rPr>
          <w:rFonts w:hint="eastAsia" w:ascii="宋体" w:hAnsi="宋体" w:cs="宋体"/>
          <w:color w:val="000000"/>
          <w:kern w:val="0"/>
        </w:rPr>
      </w:pPr>
      <w:r>
        <w:rPr>
          <w:rFonts w:hint="eastAsia" w:ascii="宋体" w:hAnsi="宋体" w:cs="宋体"/>
          <w:color w:val="000000"/>
          <w:kern w:val="0"/>
        </w:rPr>
        <w:t>3.2货物安装调试完毕后，中标人应对采购人操作人员进行现场培训，直至采购人的技术人员能独立操作，同时能完成一般常见故障的维修工作。</w:t>
      </w:r>
    </w:p>
    <w:p>
      <w:pPr>
        <w:spacing w:line="360" w:lineRule="exact"/>
        <w:rPr>
          <w:rFonts w:hint="eastAsia" w:ascii="宋体" w:hAnsi="宋体" w:cs="宋体"/>
          <w:color w:val="000000"/>
          <w:kern w:val="0"/>
        </w:rPr>
      </w:pPr>
      <w:r>
        <w:rPr>
          <w:rFonts w:hint="eastAsia" w:ascii="宋体" w:hAnsi="宋体" w:cs="宋体"/>
          <w:color w:val="000000"/>
          <w:kern w:val="0"/>
        </w:rPr>
        <w:t>3.3完成中标产品所有安装、调试、培训后，采购人组织项目验收，验收标准按照《财政部关于进一步加强政府采购需求和履约验收管理的指导意见》（财库〔2016〕205号）、招标文件、中标人投标文件为准。</w:t>
      </w:r>
    </w:p>
    <w:p>
      <w:pPr>
        <w:spacing w:line="360" w:lineRule="exact"/>
        <w:rPr>
          <w:rFonts w:hint="default" w:ascii="宋体" w:hAnsi="宋体" w:cs="宋体" w:eastAsiaTheme="minorEastAsia"/>
          <w:b/>
          <w:bCs/>
          <w:color w:val="000000"/>
          <w:kern w:val="0"/>
          <w:highlight w:val="none"/>
          <w:lang w:val="en-US" w:eastAsia="zh-CN"/>
        </w:rPr>
      </w:pPr>
      <w:r>
        <w:rPr>
          <w:rFonts w:hint="eastAsia" w:ascii="宋体" w:hAnsi="宋体" w:cs="宋体"/>
          <w:b/>
          <w:bCs/>
          <w:color w:val="000000"/>
          <w:kern w:val="0"/>
          <w:highlight w:val="none"/>
          <w:lang w:val="en-US" w:eastAsia="zh-CN"/>
        </w:rPr>
        <w:t>3.4 按医院要求的路径接入医院现有信息系统，涉及到的网关等软硬件接入费用由中标供应商承担。</w:t>
      </w:r>
    </w:p>
    <w:p>
      <w:pPr>
        <w:spacing w:line="360" w:lineRule="exact"/>
        <w:rPr>
          <w:rFonts w:hint="eastAsia" w:ascii="宋体" w:hAnsi="宋体" w:cs="宋体"/>
          <w:color w:val="000000"/>
          <w:kern w:val="0"/>
        </w:rPr>
      </w:pPr>
      <w:r>
        <w:rPr>
          <w:rFonts w:hint="eastAsia" w:ascii="宋体" w:hAnsi="宋体" w:cs="宋体"/>
          <w:color w:val="000000"/>
          <w:kern w:val="0"/>
        </w:rPr>
        <w:t>4.售后服务：</w:t>
      </w:r>
    </w:p>
    <w:p>
      <w:pPr>
        <w:spacing w:line="360" w:lineRule="exact"/>
        <w:rPr>
          <w:rFonts w:hint="eastAsia" w:ascii="宋体" w:hAnsi="宋体" w:cs="宋体"/>
          <w:color w:val="000000"/>
          <w:kern w:val="0"/>
        </w:rPr>
      </w:pPr>
      <w:r>
        <w:rPr>
          <w:rFonts w:hint="eastAsia" w:ascii="宋体" w:hAnsi="宋体" w:cs="宋体"/>
          <w:color w:val="000000"/>
          <w:kern w:val="0"/>
        </w:rPr>
        <w:t>4.1质保期：最终验收合格后提供至少</w:t>
      </w:r>
      <w:r>
        <w:rPr>
          <w:rFonts w:hint="eastAsia" w:ascii="宋体" w:hAnsi="宋体" w:cs="宋体"/>
          <w:color w:val="000000"/>
          <w:kern w:val="0"/>
          <w:lang w:val="en-US" w:eastAsia="zh-CN"/>
        </w:rPr>
        <w:t>5</w:t>
      </w:r>
      <w:r>
        <w:rPr>
          <w:rFonts w:hint="eastAsia" w:ascii="宋体" w:hAnsi="宋体" w:cs="宋体"/>
          <w:color w:val="000000"/>
          <w:kern w:val="0"/>
        </w:rPr>
        <w:t>年原厂质保（含整机所有部件；如质保期内部件损坏，中标人免费更换全新原厂配件，并对更换部件延长一年质保）。</w:t>
      </w:r>
    </w:p>
    <w:p>
      <w:pPr>
        <w:spacing w:line="360" w:lineRule="exact"/>
        <w:rPr>
          <w:rFonts w:hint="eastAsia" w:ascii="宋体" w:hAnsi="宋体" w:cs="宋体"/>
          <w:color w:val="000000"/>
          <w:kern w:val="0"/>
        </w:rPr>
      </w:pPr>
      <w:r>
        <w:rPr>
          <w:rFonts w:hint="eastAsia" w:ascii="宋体" w:hAnsi="宋体" w:cs="宋体"/>
          <w:color w:val="000000"/>
          <w:kern w:val="0"/>
        </w:rPr>
        <w:t>4.2中标人接到采购人故障通知后4小时内响应，48小时内到达现场维修，如维修不涉及零配件更换，应在24小时内修复完毕；如涉及到零配件更换，应在72小时内修复完毕。维修时间超过72小时的，中标人在设备维修期间提供备用机供采购人使用。若中标人未在规定期限内修复设备而给采购人造成经济损失，由中标人全额承担。</w:t>
      </w:r>
    </w:p>
    <w:p>
      <w:pPr>
        <w:spacing w:line="360" w:lineRule="exact"/>
        <w:rPr>
          <w:rFonts w:hint="eastAsia" w:ascii="宋体" w:hAnsi="宋体" w:cs="宋体"/>
          <w:color w:val="000000"/>
          <w:kern w:val="0"/>
        </w:rPr>
      </w:pPr>
      <w:r>
        <w:rPr>
          <w:rFonts w:hint="eastAsia" w:ascii="宋体" w:hAnsi="宋体" w:cs="宋体"/>
          <w:color w:val="000000"/>
          <w:kern w:val="0"/>
        </w:rPr>
        <w:t>4.3如质保期内货物经中标人两次维修仍不能达到国家相关质量标准，采购人有权要求中标人无条件更换全新货物或退货，并追究中标人违约责任。</w:t>
      </w:r>
    </w:p>
    <w:p>
      <w:pPr>
        <w:spacing w:line="360" w:lineRule="exact"/>
        <w:rPr>
          <w:rFonts w:hint="eastAsia" w:ascii="宋体" w:hAnsi="宋体" w:cs="宋体"/>
          <w:color w:val="000000"/>
          <w:kern w:val="0"/>
        </w:rPr>
      </w:pPr>
      <w:r>
        <w:rPr>
          <w:rFonts w:hint="eastAsia" w:ascii="宋体" w:hAnsi="宋体" w:cs="宋体"/>
          <w:color w:val="000000"/>
          <w:kern w:val="0"/>
        </w:rPr>
        <w:t>4.4如货物涉及软件升级，中标人承诺为采购人提供软件升级服务，费用包含在投标总价内，采购人不再另行支付费用。</w:t>
      </w:r>
    </w:p>
    <w:p>
      <w:pPr>
        <w:spacing w:line="360" w:lineRule="exact"/>
        <w:rPr>
          <w:rFonts w:hint="eastAsia" w:ascii="宋体" w:hAnsi="宋体" w:cs="宋体"/>
          <w:color w:val="000000"/>
          <w:kern w:val="0"/>
        </w:rPr>
      </w:pPr>
      <w:r>
        <w:rPr>
          <w:rFonts w:hint="eastAsia" w:ascii="宋体" w:hAnsi="宋体" w:cs="宋体"/>
          <w:color w:val="000000"/>
          <w:kern w:val="0"/>
        </w:rPr>
        <w:t>4.5中标人应承诺保证设备停产后至少5年的零配件供应。</w:t>
      </w:r>
    </w:p>
    <w:p>
      <w:pPr>
        <w:spacing w:line="360" w:lineRule="exact"/>
        <w:rPr>
          <w:rFonts w:hint="default" w:ascii="宋体" w:hAnsi="宋体" w:cs="宋体" w:eastAsiaTheme="minorEastAsia"/>
          <w:color w:val="000000"/>
          <w:kern w:val="0"/>
          <w:lang w:val="en-US" w:eastAsia="zh-CN"/>
        </w:rPr>
      </w:pPr>
    </w:p>
    <w:p>
      <w:pPr>
        <w:spacing w:line="360" w:lineRule="exact"/>
        <w:jc w:val="left"/>
        <w:rPr>
          <w:rFonts w:hint="eastAsia" w:ascii="宋体" w:hAnsi="宋体" w:cs="宋体"/>
          <w:b/>
          <w:color w:val="000000"/>
          <w:kern w:val="0"/>
        </w:rPr>
      </w:pPr>
      <w:r>
        <w:rPr>
          <w:rFonts w:hint="eastAsia" w:ascii="宋体" w:hAnsi="宋体" w:cs="宋体"/>
          <w:b/>
          <w:color w:val="000000"/>
          <w:kern w:val="0"/>
        </w:rPr>
        <w:t>备注:</w:t>
      </w:r>
      <w:r>
        <w:rPr>
          <w:rFonts w:ascii="宋体" w:hAnsi="宋体" w:cs="宋体"/>
          <w:b/>
          <w:color w:val="000000"/>
          <w:kern w:val="0"/>
        </w:rPr>
        <w:t xml:space="preserve"> </w:t>
      </w:r>
      <w:r>
        <w:rPr>
          <w:rFonts w:hint="eastAsia" w:ascii="宋体" w:hAnsi="宋体" w:cs="宋体"/>
          <w:b/>
          <w:color w:val="000000"/>
          <w:kern w:val="0"/>
        </w:rPr>
        <w:t>商务条款为本次招标项目的实质性要求，不允许有负偏离。</w:t>
      </w:r>
    </w:p>
    <w:p>
      <w:pPr>
        <w:widowControl/>
        <w:jc w:val="left"/>
        <w:rPr>
          <w:rFonts w:ascii="宋体" w:hAnsi="宋体" w:eastAsia="宋体" w:cs="Segoe UI"/>
          <w:b/>
          <w:bCs/>
          <w:color w:val="auto"/>
          <w:kern w:val="0"/>
          <w:sz w:val="28"/>
          <w:szCs w:val="28"/>
        </w:rPr>
      </w:pPr>
      <w:r>
        <w:rPr>
          <w:rFonts w:hint="eastAsia" w:ascii="宋体" w:hAnsi="宋体" w:eastAsia="宋体" w:cs="Segoe UI"/>
          <w:b/>
          <w:bCs/>
          <w:color w:val="auto"/>
          <w:kern w:val="0"/>
          <w:sz w:val="28"/>
          <w:szCs w:val="28"/>
        </w:rPr>
        <w:t>附件</w:t>
      </w:r>
      <w:r>
        <w:rPr>
          <w:rFonts w:ascii="Segoe UI" w:hAnsi="Segoe UI" w:eastAsia="宋体" w:cs="Segoe UI"/>
          <w:b/>
          <w:bCs/>
          <w:color w:val="auto"/>
          <w:kern w:val="0"/>
          <w:sz w:val="28"/>
          <w:szCs w:val="28"/>
        </w:rPr>
        <w:t>2</w:t>
      </w:r>
      <w:r>
        <w:rPr>
          <w:rFonts w:hint="eastAsia" w:ascii="宋体" w:hAnsi="宋体" w:eastAsia="宋体" w:cs="Segoe UI"/>
          <w:b/>
          <w:bCs/>
          <w:color w:val="auto"/>
          <w:kern w:val="0"/>
          <w:sz w:val="28"/>
          <w:szCs w:val="28"/>
        </w:rPr>
        <w:t>：评审办法（评分细则表）</w:t>
      </w:r>
    </w:p>
    <w:tbl>
      <w:tblPr>
        <w:tblStyle w:val="10"/>
        <w:tblW w:w="62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3"/>
        <w:gridCol w:w="596"/>
        <w:gridCol w:w="741"/>
        <w:gridCol w:w="1193"/>
        <w:gridCol w:w="5785"/>
        <w:gridCol w:w="1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322" w:type="pct"/>
            <w:vMerge w:val="restart"/>
            <w:tcBorders>
              <w:top w:val="single" w:color="auto" w:sz="4" w:space="0"/>
              <w:left w:val="single" w:color="auto" w:sz="4" w:space="0"/>
              <w:right w:val="single" w:color="auto" w:sz="4" w:space="0"/>
            </w:tcBorders>
            <w:vAlign w:val="center"/>
          </w:tcPr>
          <w:p>
            <w:pPr>
              <w:spacing w:line="360" w:lineRule="exact"/>
              <w:jc w:val="center"/>
              <w:rPr>
                <w:rFonts w:cs="宋体"/>
                <w:color w:val="auto"/>
                <w:kern w:val="0"/>
              </w:rPr>
            </w:pPr>
            <w:r>
              <w:rPr>
                <w:rFonts w:hint="eastAsia" w:cs="宋体"/>
                <w:color w:val="auto"/>
                <w:kern w:val="0"/>
              </w:rPr>
              <w:t>评分</w:t>
            </w:r>
          </w:p>
          <w:p>
            <w:pPr>
              <w:spacing w:line="360" w:lineRule="exact"/>
              <w:jc w:val="center"/>
              <w:rPr>
                <w:rFonts w:cs="宋体"/>
                <w:color w:val="auto"/>
                <w:kern w:val="0"/>
              </w:rPr>
            </w:pPr>
            <w:r>
              <w:rPr>
                <w:rFonts w:hint="eastAsia" w:cs="宋体"/>
                <w:color w:val="auto"/>
                <w:kern w:val="0"/>
              </w:rPr>
              <w:t>细则</w:t>
            </w:r>
          </w:p>
        </w:tc>
        <w:tc>
          <w:tcPr>
            <w:tcW w:w="281"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b/>
                <w:color w:val="auto"/>
                <w:kern w:val="0"/>
              </w:rPr>
            </w:pPr>
            <w:r>
              <w:rPr>
                <w:rFonts w:hint="eastAsia" w:ascii="宋体" w:hAnsi="宋体" w:cs="Segoe UI"/>
                <w:b/>
                <w:color w:val="auto"/>
                <w:kern w:val="0"/>
              </w:rPr>
              <w:t>序号</w:t>
            </w:r>
          </w:p>
        </w:tc>
        <w:tc>
          <w:tcPr>
            <w:tcW w:w="349"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b/>
                <w:color w:val="auto"/>
                <w:kern w:val="0"/>
              </w:rPr>
            </w:pPr>
            <w:r>
              <w:rPr>
                <w:rFonts w:hint="eastAsia" w:ascii="宋体" w:hAnsi="宋体" w:cs="Segoe UI"/>
                <w:b/>
                <w:color w:val="auto"/>
                <w:kern w:val="0"/>
              </w:rPr>
              <w:t>评分因素</w:t>
            </w:r>
          </w:p>
        </w:tc>
        <w:tc>
          <w:tcPr>
            <w:tcW w:w="562"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b/>
                <w:color w:val="auto"/>
                <w:kern w:val="0"/>
              </w:rPr>
            </w:pPr>
            <w:r>
              <w:rPr>
                <w:rFonts w:hint="eastAsia" w:ascii="宋体" w:hAnsi="宋体" w:cs="Segoe UI"/>
                <w:b/>
                <w:color w:val="auto"/>
                <w:kern w:val="0"/>
              </w:rPr>
              <w:t>分值</w:t>
            </w:r>
          </w:p>
        </w:tc>
        <w:tc>
          <w:tcPr>
            <w:tcW w:w="2726"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Segoe UI"/>
                <w:b/>
                <w:color w:val="auto"/>
                <w:kern w:val="0"/>
              </w:rPr>
            </w:pPr>
            <w:r>
              <w:rPr>
                <w:rFonts w:hint="eastAsia" w:ascii="宋体" w:hAnsi="宋体" w:cs="Segoe UI"/>
                <w:b/>
                <w:color w:val="auto"/>
                <w:kern w:val="0"/>
              </w:rPr>
              <w:t>评分标准</w:t>
            </w:r>
          </w:p>
        </w:tc>
        <w:tc>
          <w:tcPr>
            <w:tcW w:w="757"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b/>
                <w:color w:val="auto"/>
                <w:kern w:val="0"/>
              </w:rPr>
            </w:pPr>
            <w:r>
              <w:rPr>
                <w:rFonts w:hint="eastAsia" w:ascii="宋体" w:hAnsi="宋体" w:cs="Segoe UI"/>
                <w:b/>
                <w:color w:val="auto"/>
                <w:kern w:val="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322" w:type="pct"/>
            <w:vMerge w:val="continue"/>
            <w:tcBorders>
              <w:left w:val="single" w:color="auto" w:sz="4" w:space="0"/>
              <w:right w:val="single" w:color="auto" w:sz="4" w:space="0"/>
            </w:tcBorders>
            <w:vAlign w:val="center"/>
          </w:tcPr>
          <w:p>
            <w:pPr>
              <w:spacing w:line="360" w:lineRule="exact"/>
              <w:jc w:val="center"/>
              <w:rPr>
                <w:rFonts w:cs="宋体"/>
                <w:color w:val="auto"/>
                <w:kern w:val="0"/>
              </w:rPr>
            </w:pPr>
          </w:p>
        </w:tc>
        <w:tc>
          <w:tcPr>
            <w:tcW w:w="2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Segoe UI" w:eastAsiaTheme="minorEastAsia"/>
                <w:color w:val="333333"/>
                <w:kern w:val="0"/>
                <w:sz w:val="21"/>
                <w:szCs w:val="22"/>
                <w:lang w:val="en-US" w:eastAsia="zh-CN" w:bidi="ar-SA"/>
              </w:rPr>
            </w:pPr>
            <w:r>
              <w:rPr>
                <w:rFonts w:hint="eastAsia" w:ascii="宋体" w:hAnsi="宋体" w:cs="Segoe UI"/>
                <w:color w:val="000000"/>
                <w:kern w:val="0"/>
              </w:rPr>
              <w:t>1</w:t>
            </w:r>
          </w:p>
        </w:tc>
        <w:tc>
          <w:tcPr>
            <w:tcW w:w="34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Segoe UI"/>
                <w:color w:val="000000"/>
                <w:kern w:val="0"/>
              </w:rPr>
            </w:pPr>
            <w:r>
              <w:rPr>
                <w:rFonts w:hint="eastAsia" w:ascii="宋体" w:hAnsi="宋体" w:cs="Segoe UI"/>
                <w:color w:val="000000"/>
                <w:kern w:val="0"/>
              </w:rPr>
              <w:t>投标报价</w:t>
            </w:r>
          </w:p>
          <w:p>
            <w:pPr>
              <w:widowControl/>
              <w:spacing w:line="360" w:lineRule="exact"/>
              <w:jc w:val="center"/>
              <w:rPr>
                <w:rFonts w:ascii="宋体" w:hAnsi="宋体" w:cs="Segoe UI" w:eastAsiaTheme="minorEastAsia"/>
                <w:color w:val="333333"/>
                <w:kern w:val="0"/>
                <w:sz w:val="21"/>
                <w:szCs w:val="22"/>
                <w:lang w:val="en-US" w:eastAsia="zh-CN" w:bidi="ar-SA"/>
              </w:rPr>
            </w:pPr>
            <w:r>
              <w:rPr>
                <w:rFonts w:hint="eastAsia" w:ascii="宋体" w:hAnsi="宋体" w:cs="Segoe UI"/>
                <w:color w:val="000000"/>
                <w:kern w:val="0"/>
              </w:rPr>
              <w:t>30%</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Segoe UI" w:eastAsiaTheme="minorEastAsia"/>
                <w:color w:val="333333"/>
                <w:kern w:val="0"/>
                <w:sz w:val="21"/>
                <w:szCs w:val="22"/>
                <w:lang w:val="en-US" w:eastAsia="zh-CN" w:bidi="ar-SA"/>
              </w:rPr>
            </w:pPr>
            <w:r>
              <w:rPr>
                <w:rFonts w:hint="eastAsia" w:ascii="宋体" w:hAnsi="宋体" w:cs="Segoe UI"/>
                <w:color w:val="000000"/>
                <w:kern w:val="0"/>
              </w:rPr>
              <w:t>30</w:t>
            </w:r>
          </w:p>
        </w:tc>
        <w:tc>
          <w:tcPr>
            <w:tcW w:w="272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rPr>
                <w:rFonts w:hint="eastAsia" w:ascii="宋体" w:hAnsi="宋体" w:cs="宋体"/>
              </w:rPr>
            </w:pPr>
            <w:r>
              <w:rPr>
                <w:rFonts w:hint="eastAsia" w:ascii="宋体" w:hAnsi="宋体" w:cs="宋体"/>
              </w:rPr>
              <w:t>满足招标文件要求且投标报价最低的有效投标报价为评标基准价，其投标人的报价分为30分。其他投标人的报价分按以下公式计算：报价得分=(评标基准价／投标报价)×30。</w:t>
            </w:r>
          </w:p>
          <w:p>
            <w:pPr>
              <w:widowControl/>
              <w:spacing w:line="360" w:lineRule="exact"/>
              <w:rPr>
                <w:rFonts w:hint="eastAsia" w:ascii="宋体" w:hAnsi="宋体" w:cs="宋体" w:eastAsiaTheme="minorEastAsia"/>
                <w:kern w:val="2"/>
                <w:sz w:val="21"/>
                <w:szCs w:val="22"/>
                <w:lang w:val="en-US" w:eastAsia="zh-CN" w:bidi="ar-SA"/>
              </w:rPr>
            </w:pPr>
            <w:r>
              <w:rPr>
                <w:rFonts w:hint="eastAsia" w:ascii="宋体" w:hAnsi="宋体" w:cs="宋体"/>
              </w:rPr>
              <w:t>注：</w:t>
            </w:r>
            <w:r>
              <w:rPr>
                <w:rFonts w:hint="eastAsia" w:ascii="宋体" w:hAnsi="宋体" w:eastAsia="宋体" w:cs="宋体"/>
              </w:rPr>
              <w:t>小微企业(监独企业、残疾人福利性单位视同小微企业)价格扣除等政策评分按照须知前附表规定执行</w:t>
            </w:r>
            <w:r>
              <w:rPr>
                <w:rFonts w:hint="eastAsia" w:ascii="宋体" w:hAnsi="宋体" w:eastAsia="宋体" w:cs="宋体"/>
                <w:lang w:eastAsia="zh-CN"/>
              </w:rPr>
              <w:t>。</w:t>
            </w:r>
          </w:p>
        </w:tc>
        <w:tc>
          <w:tcPr>
            <w:tcW w:w="75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cs="Segoe UI" w:eastAsiaTheme="minorEastAsia"/>
                <w:kern w:val="0"/>
                <w:sz w:val="21"/>
                <w:szCs w:val="22"/>
                <w:lang w:val="en-US" w:eastAsia="zh-CN" w:bidi="ar-SA"/>
              </w:rPr>
            </w:pPr>
            <w:r>
              <w:rPr>
                <w:rFonts w:hint="eastAsia" w:ascii="宋体" w:hAnsi="宋体" w:cs="宋体"/>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322" w:type="pct"/>
            <w:vMerge w:val="continue"/>
            <w:tcBorders>
              <w:left w:val="single" w:color="auto" w:sz="4" w:space="0"/>
              <w:right w:val="single" w:color="auto" w:sz="4" w:space="0"/>
            </w:tcBorders>
            <w:vAlign w:val="center"/>
          </w:tcPr>
          <w:p>
            <w:pPr>
              <w:spacing w:line="360" w:lineRule="exact"/>
              <w:jc w:val="center"/>
              <w:rPr>
                <w:rFonts w:cs="宋体"/>
                <w:color w:val="auto"/>
                <w:kern w:val="0"/>
              </w:rPr>
            </w:pPr>
          </w:p>
        </w:tc>
        <w:tc>
          <w:tcPr>
            <w:tcW w:w="2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宋体" w:hAnsi="宋体" w:eastAsia="宋体" w:cs="Segoe UI"/>
                <w:color w:val="333333"/>
                <w:kern w:val="0"/>
                <w:sz w:val="21"/>
                <w:szCs w:val="22"/>
                <w:lang w:val="en-US" w:eastAsia="zh-CN" w:bidi="ar-SA"/>
              </w:rPr>
            </w:pPr>
            <w:r>
              <w:rPr>
                <w:rFonts w:hint="eastAsia" w:ascii="宋体" w:hAnsi="宋体" w:cs="Segoe UI"/>
                <w:color w:val="000000"/>
                <w:kern w:val="0"/>
                <w:lang w:val="en-US" w:eastAsia="zh-CN"/>
              </w:rPr>
              <w:t>2</w:t>
            </w:r>
          </w:p>
        </w:tc>
        <w:tc>
          <w:tcPr>
            <w:tcW w:w="34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Segoe UI"/>
                <w:color w:val="000000"/>
                <w:kern w:val="0"/>
              </w:rPr>
            </w:pPr>
            <w:r>
              <w:rPr>
                <w:rFonts w:hint="eastAsia" w:ascii="宋体" w:hAnsi="宋体" w:cs="Segoe UI"/>
                <w:color w:val="000000"/>
                <w:kern w:val="0"/>
              </w:rPr>
              <w:t>技术指标</w:t>
            </w:r>
          </w:p>
          <w:p>
            <w:pPr>
              <w:widowControl/>
              <w:spacing w:line="360" w:lineRule="exact"/>
              <w:jc w:val="center"/>
              <w:rPr>
                <w:rFonts w:ascii="宋体" w:hAnsi="宋体" w:cs="Segoe UI" w:eastAsiaTheme="minorEastAsia"/>
                <w:color w:val="333333"/>
                <w:kern w:val="0"/>
                <w:sz w:val="21"/>
                <w:szCs w:val="22"/>
                <w:lang w:val="en-US" w:eastAsia="zh-CN" w:bidi="ar-SA"/>
              </w:rPr>
            </w:pPr>
            <w:r>
              <w:rPr>
                <w:rFonts w:hint="eastAsia" w:ascii="宋体" w:hAnsi="宋体" w:cs="Segoe UI"/>
                <w:color w:val="000000"/>
                <w:kern w:val="0"/>
                <w:lang w:val="en-US" w:eastAsia="zh-CN"/>
              </w:rPr>
              <w:t>56</w:t>
            </w:r>
            <w:r>
              <w:rPr>
                <w:rFonts w:hint="eastAsia" w:ascii="宋体" w:hAnsi="宋体" w:cs="Segoe UI"/>
                <w:color w:val="000000"/>
                <w:kern w:val="0"/>
              </w:rPr>
              <w:t>%</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default" w:ascii="宋体" w:hAnsi="宋体" w:eastAsia="宋体" w:cs="Segoe UI"/>
                <w:color w:val="333333"/>
                <w:kern w:val="0"/>
                <w:sz w:val="21"/>
                <w:szCs w:val="22"/>
                <w:lang w:val="en-US" w:eastAsia="zh-CN" w:bidi="ar-SA"/>
              </w:rPr>
            </w:pPr>
            <w:r>
              <w:rPr>
                <w:rFonts w:hint="eastAsia" w:ascii="宋体" w:hAnsi="宋体" w:cs="Segoe UI"/>
                <w:color w:val="000000"/>
                <w:kern w:val="0"/>
                <w:lang w:val="en-US" w:eastAsia="zh-CN"/>
              </w:rPr>
              <w:t>56</w:t>
            </w:r>
          </w:p>
        </w:tc>
        <w:tc>
          <w:tcPr>
            <w:tcW w:w="272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rPr>
                <w:rFonts w:hint="eastAsia" w:ascii="宋体" w:hAnsi="宋体" w:cs="宋体"/>
              </w:rPr>
            </w:pPr>
            <w:r>
              <w:rPr>
                <w:rFonts w:hint="eastAsia" w:ascii="宋体" w:hAnsi="宋体" w:cs="宋体"/>
              </w:rPr>
              <w:t>完全符合招标文件技术参数要求得</w:t>
            </w:r>
            <w:r>
              <w:rPr>
                <w:rFonts w:hint="eastAsia" w:ascii="宋体" w:hAnsi="宋体" w:cs="宋体"/>
                <w:lang w:val="en-US" w:eastAsia="zh-CN"/>
              </w:rPr>
              <w:t>56</w:t>
            </w:r>
            <w:bookmarkStart w:id="5" w:name="_GoBack"/>
            <w:bookmarkEnd w:id="5"/>
            <w:r>
              <w:rPr>
                <w:rFonts w:hint="eastAsia" w:ascii="宋体" w:hAnsi="宋体" w:cs="宋体"/>
              </w:rPr>
              <w:t>分。▲号条款负偏离一项扣</w:t>
            </w:r>
            <w:r>
              <w:rPr>
                <w:rFonts w:hint="eastAsia" w:ascii="宋体" w:hAnsi="宋体" w:cs="宋体"/>
                <w:lang w:val="en-US" w:eastAsia="zh-CN"/>
              </w:rPr>
              <w:t>4</w:t>
            </w:r>
            <w:r>
              <w:rPr>
                <w:rFonts w:hint="eastAsia" w:ascii="宋体" w:hAnsi="宋体" w:cs="宋体"/>
              </w:rPr>
              <w:t>分，非▲号条款一项扣</w:t>
            </w:r>
            <w:r>
              <w:rPr>
                <w:rFonts w:hint="eastAsia" w:ascii="宋体" w:hAnsi="宋体" w:cs="宋体"/>
                <w:lang w:val="en-US" w:eastAsia="zh-CN"/>
              </w:rPr>
              <w:t>1</w:t>
            </w:r>
            <w:r>
              <w:rPr>
                <w:rFonts w:hint="eastAsia" w:ascii="宋体" w:hAnsi="宋体" w:cs="宋体"/>
              </w:rPr>
              <w:t>分，扣完为止。（▲号条款共</w:t>
            </w:r>
            <w:r>
              <w:rPr>
                <w:rFonts w:hint="eastAsia" w:ascii="宋体" w:hAnsi="宋体" w:cs="宋体"/>
                <w:lang w:val="en-US" w:eastAsia="zh-CN"/>
              </w:rPr>
              <w:t>11</w:t>
            </w:r>
            <w:r>
              <w:rPr>
                <w:rFonts w:hint="eastAsia" w:ascii="宋体" w:hAnsi="宋体" w:cs="宋体"/>
              </w:rPr>
              <w:t>项，非▲号条款共</w:t>
            </w:r>
            <w:r>
              <w:rPr>
                <w:rFonts w:hint="eastAsia" w:ascii="宋体" w:hAnsi="宋体" w:cs="宋体"/>
                <w:lang w:val="en-US" w:eastAsia="zh-CN"/>
              </w:rPr>
              <w:t>12</w:t>
            </w:r>
            <w:r>
              <w:rPr>
                <w:rFonts w:hint="eastAsia" w:ascii="宋体" w:hAnsi="宋体" w:cs="宋体"/>
              </w:rPr>
              <w:t>项）。</w:t>
            </w:r>
          </w:p>
          <w:p>
            <w:pPr>
              <w:widowControl/>
              <w:spacing w:line="360" w:lineRule="exact"/>
              <w:rPr>
                <w:rFonts w:hint="eastAsia" w:ascii="宋体" w:hAnsi="宋体" w:cs="宋体" w:eastAsiaTheme="minorEastAsia"/>
                <w:kern w:val="2"/>
                <w:sz w:val="21"/>
                <w:szCs w:val="22"/>
                <w:lang w:val="en-US" w:eastAsia="zh-CN" w:bidi="ar-SA"/>
              </w:rPr>
            </w:pPr>
            <w:r>
              <w:rPr>
                <w:rFonts w:hint="eastAsia" w:ascii="宋体" w:hAnsi="宋体" w:cs="宋体"/>
              </w:rPr>
              <w:t>注：（1）▲号条款需提供证明文件</w:t>
            </w:r>
            <w:r>
              <w:rPr>
                <w:rFonts w:hint="eastAsia" w:ascii="宋体" w:hAnsi="宋体" w:cs="宋体"/>
                <w:lang w:eastAsia="zh-CN"/>
              </w:rPr>
              <w:t>，</w:t>
            </w:r>
            <w:r>
              <w:rPr>
                <w:rFonts w:hint="eastAsia" w:ascii="宋体" w:hAnsi="宋体" w:cs="宋体"/>
                <w:lang w:val="en-US" w:eastAsia="zh-CN"/>
              </w:rPr>
              <w:t>并标注页码</w:t>
            </w:r>
            <w:r>
              <w:rPr>
                <w:rFonts w:hint="eastAsia" w:ascii="宋体" w:hAnsi="宋体" w:cs="宋体"/>
              </w:rPr>
              <w:t>（按招标文件要求提供资料,</w:t>
            </w:r>
            <w:r>
              <w:rPr>
                <w:rFonts w:hint="eastAsia" w:ascii="仿宋" w:hAnsi="仿宋" w:eastAsia="仿宋"/>
              </w:rPr>
              <w:t xml:space="preserve"> </w:t>
            </w:r>
            <w:r>
              <w:rPr>
                <w:rFonts w:hint="eastAsia" w:ascii="宋体" w:hAnsi="宋体" w:cs="宋体"/>
              </w:rPr>
              <w:t>▲号条款招标文件未要求提供证明材料的，提供所投产品生产厂家出具的说明书或向社会公开的彩页资料或国家认可的合法的检测机构出具的检测报告等有效证明材料并加盖投标人公章）。（2）如技术指标在投标文件中未对应出现或在投标文件中存在自相矛盾之处或未提供的不得分。</w:t>
            </w:r>
          </w:p>
        </w:tc>
        <w:tc>
          <w:tcPr>
            <w:tcW w:w="75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Segoe UI" w:eastAsiaTheme="minorEastAsia"/>
                <w:kern w:val="0"/>
                <w:sz w:val="21"/>
                <w:szCs w:val="22"/>
                <w:lang w:val="en-US" w:eastAsia="zh-CN" w:bidi="ar-SA"/>
              </w:rPr>
            </w:pPr>
            <w:r>
              <w:rPr>
                <w:rFonts w:hint="eastAsia" w:ascii="宋体" w:hAnsi="宋体" w:cs="宋体"/>
              </w:rPr>
              <w:t>技术评审因素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322" w:type="pct"/>
            <w:vMerge w:val="continue"/>
            <w:tcBorders>
              <w:left w:val="single" w:color="auto" w:sz="4" w:space="0"/>
              <w:right w:val="single" w:color="auto" w:sz="4" w:space="0"/>
            </w:tcBorders>
            <w:vAlign w:val="center"/>
          </w:tcPr>
          <w:p>
            <w:pPr>
              <w:spacing w:line="360" w:lineRule="exact"/>
              <w:jc w:val="center"/>
              <w:rPr>
                <w:rFonts w:cs="宋体"/>
                <w:color w:val="auto"/>
                <w:kern w:val="0"/>
              </w:rPr>
            </w:pPr>
          </w:p>
        </w:tc>
        <w:tc>
          <w:tcPr>
            <w:tcW w:w="2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宋体" w:hAnsi="宋体" w:eastAsia="宋体" w:cs="Segoe UI"/>
                <w:color w:val="333333"/>
                <w:kern w:val="0"/>
                <w:sz w:val="21"/>
                <w:szCs w:val="22"/>
                <w:lang w:val="en-US" w:eastAsia="zh-CN" w:bidi="ar-SA"/>
              </w:rPr>
            </w:pPr>
            <w:r>
              <w:rPr>
                <w:rFonts w:hint="eastAsia" w:ascii="宋体" w:hAnsi="宋体" w:cs="Segoe UI"/>
                <w:color w:val="333333"/>
                <w:kern w:val="0"/>
                <w:lang w:val="en-US" w:eastAsia="zh-CN"/>
              </w:rPr>
              <w:t>3</w:t>
            </w:r>
          </w:p>
        </w:tc>
        <w:tc>
          <w:tcPr>
            <w:tcW w:w="34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宋体" w:hAnsi="宋体" w:cs="宋体"/>
              </w:rPr>
            </w:pPr>
            <w:r>
              <w:rPr>
                <w:rFonts w:hint="eastAsia" w:ascii="宋体" w:hAnsi="宋体" w:cs="宋体"/>
              </w:rPr>
              <w:t>业绩</w:t>
            </w:r>
          </w:p>
          <w:p>
            <w:pPr>
              <w:widowControl/>
              <w:spacing w:line="360" w:lineRule="exact"/>
              <w:jc w:val="center"/>
              <w:rPr>
                <w:rFonts w:ascii="宋体" w:hAnsi="宋体" w:cs="Segoe UI" w:eastAsiaTheme="minorEastAsia"/>
                <w:color w:val="000000"/>
                <w:kern w:val="0"/>
                <w:sz w:val="21"/>
                <w:szCs w:val="22"/>
                <w:lang w:val="en-US" w:eastAsia="zh-CN" w:bidi="ar-SA"/>
              </w:rPr>
            </w:pPr>
            <w:r>
              <w:rPr>
                <w:rFonts w:hint="eastAsia" w:ascii="宋体" w:hAnsi="宋体" w:cs="宋体"/>
                <w:lang w:val="en-US" w:eastAsia="zh-CN"/>
              </w:rPr>
              <w:t>8</w:t>
            </w:r>
            <w:r>
              <w:rPr>
                <w:rFonts w:hint="eastAsia" w:ascii="宋体" w:hAnsi="宋体" w:cs="宋体"/>
              </w:rPr>
              <w:t>%</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宋体" w:hAnsi="宋体" w:eastAsia="宋体" w:cs="宋体"/>
                <w:kern w:val="2"/>
                <w:sz w:val="21"/>
                <w:szCs w:val="22"/>
                <w:lang w:val="en-US" w:eastAsia="zh-CN" w:bidi="ar-SA"/>
              </w:rPr>
            </w:pPr>
            <w:r>
              <w:rPr>
                <w:rFonts w:hint="eastAsia" w:ascii="宋体" w:hAnsi="宋体" w:cs="宋体"/>
                <w:lang w:val="en-US" w:eastAsia="zh-CN"/>
              </w:rPr>
              <w:t>8</w:t>
            </w:r>
          </w:p>
        </w:tc>
        <w:tc>
          <w:tcPr>
            <w:tcW w:w="272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rPr>
                <w:rFonts w:hint="eastAsia" w:ascii="宋体" w:hAnsi="宋体" w:cs="宋体"/>
              </w:rPr>
            </w:pPr>
            <w:r>
              <w:rPr>
                <w:rFonts w:hint="eastAsia" w:ascii="宋体" w:hAnsi="宋体" w:cs="宋体"/>
              </w:rPr>
              <w:t>自202</w:t>
            </w:r>
            <w:r>
              <w:rPr>
                <w:rFonts w:hint="eastAsia" w:ascii="宋体" w:hAnsi="宋体" w:cs="宋体"/>
                <w:lang w:val="en-US" w:eastAsia="zh-CN"/>
              </w:rPr>
              <w:t>2</w:t>
            </w:r>
            <w:r>
              <w:rPr>
                <w:rFonts w:hint="eastAsia" w:ascii="宋体" w:hAnsi="宋体" w:cs="宋体"/>
              </w:rPr>
              <w:t>年1月1日（含）至今，以合同签订时间为准，投标人每具有一个类似项目业绩的得1分，最高得</w:t>
            </w:r>
            <w:r>
              <w:rPr>
                <w:rFonts w:hint="eastAsia" w:ascii="宋体" w:hAnsi="宋体" w:cs="宋体"/>
                <w:lang w:val="en-US" w:eastAsia="zh-CN"/>
              </w:rPr>
              <w:t>8</w:t>
            </w:r>
            <w:r>
              <w:rPr>
                <w:rFonts w:hint="eastAsia" w:ascii="宋体" w:hAnsi="宋体" w:cs="宋体"/>
              </w:rPr>
              <w:t xml:space="preserve">分。 </w:t>
            </w:r>
          </w:p>
          <w:p>
            <w:pPr>
              <w:widowControl/>
              <w:spacing w:line="360" w:lineRule="exact"/>
              <w:rPr>
                <w:rFonts w:ascii="宋体" w:hAnsi="宋体" w:cs="宋体" w:eastAsiaTheme="minorEastAsia"/>
                <w:kern w:val="2"/>
                <w:sz w:val="21"/>
                <w:szCs w:val="22"/>
                <w:lang w:val="en-US" w:eastAsia="zh-CN" w:bidi="ar-SA"/>
              </w:rPr>
            </w:pPr>
            <w:r>
              <w:rPr>
                <w:rFonts w:hint="eastAsia" w:ascii="宋体" w:hAnsi="宋体" w:cs="宋体"/>
              </w:rPr>
              <w:t>注：提供项目合同复印件或中标（成交）通知书复印件并加盖投标人公章（鲜章）。</w:t>
            </w:r>
          </w:p>
        </w:tc>
        <w:tc>
          <w:tcPr>
            <w:tcW w:w="75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Segoe UI" w:eastAsiaTheme="minorEastAsia"/>
                <w:color w:val="000000"/>
                <w:kern w:val="0"/>
                <w:sz w:val="21"/>
                <w:szCs w:val="22"/>
                <w:lang w:val="en-US" w:eastAsia="zh-CN" w:bidi="ar-SA"/>
              </w:rPr>
            </w:pPr>
            <w:r>
              <w:rPr>
                <w:rFonts w:hint="eastAsia" w:ascii="宋体" w:hAnsi="宋体" w:cs="宋体"/>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322" w:type="pct"/>
            <w:vMerge w:val="continue"/>
            <w:tcBorders>
              <w:left w:val="single" w:color="auto" w:sz="4" w:space="0"/>
              <w:right w:val="single" w:color="auto" w:sz="4" w:space="0"/>
            </w:tcBorders>
            <w:vAlign w:val="center"/>
          </w:tcPr>
          <w:p>
            <w:pPr>
              <w:spacing w:line="360" w:lineRule="exact"/>
              <w:jc w:val="center"/>
              <w:rPr>
                <w:rFonts w:cs="宋体"/>
                <w:color w:val="auto"/>
                <w:kern w:val="0"/>
              </w:rPr>
            </w:pPr>
          </w:p>
        </w:tc>
        <w:tc>
          <w:tcPr>
            <w:tcW w:w="2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宋体" w:hAnsi="宋体" w:eastAsia="宋体" w:cs="Segoe UI"/>
                <w:color w:val="333333"/>
                <w:kern w:val="0"/>
                <w:sz w:val="21"/>
                <w:szCs w:val="22"/>
                <w:lang w:val="en-US" w:eastAsia="zh-CN" w:bidi="ar-SA"/>
              </w:rPr>
            </w:pPr>
            <w:r>
              <w:rPr>
                <w:rFonts w:hint="eastAsia" w:ascii="宋体" w:hAnsi="宋体" w:cs="Segoe UI"/>
                <w:color w:val="333333"/>
                <w:kern w:val="0"/>
                <w:lang w:val="en-US" w:eastAsia="zh-CN"/>
              </w:rPr>
              <w:t>4</w:t>
            </w:r>
          </w:p>
        </w:tc>
        <w:tc>
          <w:tcPr>
            <w:tcW w:w="34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宋体" w:hAnsi="宋体" w:cs="宋体"/>
              </w:rPr>
            </w:pPr>
            <w:r>
              <w:rPr>
                <w:rFonts w:hint="eastAsia" w:ascii="宋体" w:hAnsi="宋体" w:cs="宋体"/>
              </w:rPr>
              <w:t>售后服务方案</w:t>
            </w:r>
          </w:p>
          <w:p>
            <w:pPr>
              <w:widowControl/>
              <w:spacing w:line="360" w:lineRule="exact"/>
              <w:jc w:val="center"/>
              <w:rPr>
                <w:rFonts w:ascii="宋体" w:hAnsi="宋体" w:cs="Segoe UI" w:eastAsiaTheme="minorEastAsia"/>
                <w:color w:val="000000"/>
                <w:kern w:val="0"/>
                <w:sz w:val="21"/>
                <w:szCs w:val="22"/>
                <w:lang w:val="en-US" w:eastAsia="zh-CN" w:bidi="ar-SA"/>
              </w:rPr>
            </w:pPr>
            <w:r>
              <w:rPr>
                <w:rFonts w:hint="eastAsia" w:ascii="宋体" w:hAnsi="宋体" w:cs="宋体"/>
                <w:lang w:val="en-US" w:eastAsia="zh-CN"/>
              </w:rPr>
              <w:t>6</w:t>
            </w:r>
            <w:r>
              <w:rPr>
                <w:rFonts w:hint="eastAsia" w:ascii="宋体" w:hAnsi="宋体" w:cs="宋体"/>
              </w:rPr>
              <w:t>%</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Segoe UI" w:eastAsiaTheme="minorEastAsia"/>
                <w:color w:val="333333"/>
                <w:kern w:val="0"/>
                <w:sz w:val="21"/>
                <w:szCs w:val="22"/>
                <w:lang w:val="en-US" w:eastAsia="zh-CN" w:bidi="ar-SA"/>
              </w:rPr>
            </w:pPr>
            <w:r>
              <w:rPr>
                <w:rFonts w:hint="eastAsia" w:ascii="宋体" w:hAnsi="宋体" w:cs="宋体"/>
                <w:lang w:val="en-US" w:eastAsia="zh-CN"/>
              </w:rPr>
              <w:t>6</w:t>
            </w:r>
          </w:p>
        </w:tc>
        <w:tc>
          <w:tcPr>
            <w:tcW w:w="272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rPr>
                <w:rFonts w:hint="eastAsia" w:ascii="宋体" w:hAnsi="宋体" w:cs="宋体"/>
              </w:rPr>
            </w:pPr>
            <w:r>
              <w:rPr>
                <w:rFonts w:hint="eastAsia" w:ascii="宋体" w:hAnsi="宋体" w:cs="宋体"/>
              </w:rPr>
              <w:t>（1）根据投标人提供的售后服务方案，包含：①质量保障方案；②技术支持方案；③应急方案；④服务响应方案。方案包含以上4个方面的得</w:t>
            </w:r>
            <w:r>
              <w:rPr>
                <w:rFonts w:hint="eastAsia" w:ascii="宋体" w:hAnsi="宋体" w:cs="宋体"/>
                <w:lang w:val="en-US" w:eastAsia="zh-CN"/>
              </w:rPr>
              <w:t>2</w:t>
            </w:r>
            <w:r>
              <w:rPr>
                <w:rFonts w:hint="eastAsia" w:ascii="宋体" w:hAnsi="宋体" w:cs="宋体"/>
              </w:rPr>
              <w:t>分，每缺少一项的扣</w:t>
            </w:r>
            <w:r>
              <w:rPr>
                <w:rFonts w:hint="eastAsia" w:ascii="宋体" w:hAnsi="宋体" w:cs="宋体"/>
                <w:lang w:val="en-US" w:eastAsia="zh-CN"/>
              </w:rPr>
              <w:t>0.5</w:t>
            </w:r>
            <w:r>
              <w:rPr>
                <w:rFonts w:hint="eastAsia" w:ascii="宋体" w:hAnsi="宋体" w:cs="宋体"/>
              </w:rPr>
              <w:t>分，每有一项存在内容缺陷扣0.</w:t>
            </w:r>
            <w:r>
              <w:rPr>
                <w:rFonts w:hint="eastAsia" w:ascii="宋体" w:hAnsi="宋体" w:cs="宋体"/>
                <w:lang w:val="en-US" w:eastAsia="zh-CN"/>
              </w:rPr>
              <w:t>25</w:t>
            </w:r>
            <w:r>
              <w:rPr>
                <w:rFonts w:hint="eastAsia" w:ascii="宋体" w:hAnsi="宋体" w:cs="宋体"/>
              </w:rPr>
              <w:t>分，扣完为止。</w:t>
            </w:r>
          </w:p>
          <w:p>
            <w:pPr>
              <w:widowControl/>
              <w:spacing w:line="360" w:lineRule="exact"/>
              <w:rPr>
                <w:rFonts w:hint="eastAsia" w:ascii="宋体" w:hAnsi="宋体" w:cs="宋体"/>
              </w:rPr>
            </w:pPr>
            <w:r>
              <w:rPr>
                <w:rFonts w:hint="eastAsia" w:ascii="宋体" w:hAnsi="宋体" w:cs="宋体"/>
              </w:rPr>
              <w:t>（2）根据投标人提供的与投标产品相关的①技术培训服务方案（其中应包含培训人员及维修人员的相关专业证书及在职证明加盖投标人公章）；②服务培训计划。方案包含以上2个方面的得4分，每缺少一项的扣2分，每有一项存在内容缺陷扣1分，扣完为止。</w:t>
            </w:r>
          </w:p>
          <w:p>
            <w:pPr>
              <w:widowControl/>
              <w:spacing w:line="360" w:lineRule="exact"/>
              <w:rPr>
                <w:rFonts w:ascii="宋体" w:hAnsi="宋体" w:cs="宋体" w:eastAsiaTheme="minorEastAsia"/>
                <w:kern w:val="2"/>
                <w:sz w:val="21"/>
                <w:szCs w:val="22"/>
                <w:lang w:val="en-US" w:eastAsia="zh-CN" w:bidi="ar-SA"/>
              </w:rPr>
            </w:pPr>
            <w:r>
              <w:rPr>
                <w:rFonts w:hint="eastAsia" w:ascii="宋体" w:hAnsi="宋体" w:cs="宋体"/>
              </w:rPr>
              <w:t>注：内容缺陷是指存在项目名称错误、地点区域错误、内容与本项目需求无关、方案内容矛盾或表述前后不一致、仅有框架或标题、适用的标准(方法)错误、明显复制其他项目内容等任意一种情形。</w:t>
            </w:r>
          </w:p>
        </w:tc>
        <w:tc>
          <w:tcPr>
            <w:tcW w:w="75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Segoe UI" w:eastAsiaTheme="minorEastAsia"/>
                <w:color w:val="000000"/>
                <w:kern w:val="0"/>
                <w:sz w:val="21"/>
                <w:szCs w:val="22"/>
                <w:lang w:val="en-US" w:eastAsia="zh-CN" w:bidi="ar-SA"/>
              </w:rPr>
            </w:pPr>
            <w:r>
              <w:rPr>
                <w:rFonts w:hint="eastAsia" w:ascii="宋体" w:hAnsi="宋体" w:cs="宋体"/>
              </w:rPr>
              <w:t>技术评审因素</w:t>
            </w:r>
          </w:p>
        </w:tc>
      </w:tr>
    </w:tbl>
    <w:p>
      <w:pPr>
        <w:widowControl/>
        <w:shd w:val="clear" w:color="auto" w:fill="FFFFFF"/>
        <w:wordWrap w:val="0"/>
        <w:spacing w:line="400" w:lineRule="atLeast"/>
        <w:jc w:val="left"/>
        <w:rPr>
          <w:rFonts w:ascii="仿宋_GB2312" w:hAnsi="Segoe UI" w:eastAsia="仿宋_GB2312" w:cs="Segoe UI"/>
          <w:b/>
          <w:bCs/>
          <w:color w:val="auto"/>
          <w:kern w:val="0"/>
          <w:sz w:val="28"/>
          <w:szCs w:val="28"/>
        </w:rPr>
      </w:pPr>
    </w:p>
    <w:p>
      <w:pPr>
        <w:rPr>
          <w:rFonts w:ascii="仿宋_GB2312" w:hAnsi="Segoe UI" w:eastAsia="仿宋_GB2312" w:cs="Segoe UI"/>
          <w:b/>
          <w:bCs/>
          <w:color w:val="auto"/>
          <w:kern w:val="0"/>
          <w:sz w:val="28"/>
          <w:szCs w:val="28"/>
        </w:rPr>
      </w:pPr>
    </w:p>
    <w:p>
      <w:pPr>
        <w:pStyle w:val="13"/>
        <w:rPr>
          <w:color w:val="auto"/>
        </w:rPr>
      </w:pPr>
    </w:p>
    <w:bookmarkEnd w:id="0"/>
    <w:p>
      <w:pPr>
        <w:widowControl/>
        <w:shd w:val="clear" w:color="auto" w:fill="FFFFFF"/>
        <w:wordWrap w:val="0"/>
        <w:spacing w:line="400" w:lineRule="atLeast"/>
        <w:jc w:val="left"/>
        <w:rPr>
          <w:rFonts w:ascii="Segoe UI" w:hAnsi="Segoe UI" w:eastAsia="宋体" w:cs="Segoe UI"/>
          <w:color w:val="auto"/>
          <w:kern w:val="0"/>
          <w:sz w:val="18"/>
          <w:szCs w:val="18"/>
        </w:rPr>
      </w:pPr>
      <w:r>
        <w:rPr>
          <w:rFonts w:hint="eastAsia" w:ascii="仿宋_GB2312" w:hAnsi="Segoe UI" w:eastAsia="仿宋_GB2312" w:cs="Segoe UI"/>
          <w:b/>
          <w:bCs/>
          <w:color w:val="auto"/>
          <w:kern w:val="0"/>
          <w:sz w:val="28"/>
          <w:szCs w:val="28"/>
        </w:rPr>
        <w:t>附件3：采购文件书装订顺序</w:t>
      </w:r>
    </w:p>
    <w:p>
      <w:pPr>
        <w:widowControl/>
        <w:shd w:val="clear" w:color="auto" w:fill="FFFFFF"/>
        <w:wordWrap w:val="0"/>
        <w:spacing w:line="400" w:lineRule="atLeast"/>
        <w:jc w:val="left"/>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p>
    <w:p>
      <w:pPr>
        <w:widowControl/>
        <w:shd w:val="clear" w:color="auto" w:fill="FFFFFF"/>
        <w:wordWrap w:val="0"/>
        <w:jc w:val="center"/>
        <w:rPr>
          <w:rFonts w:ascii="Segoe UI" w:hAnsi="Segoe UI" w:eastAsia="宋体" w:cs="Segoe UI"/>
          <w:color w:val="auto"/>
          <w:kern w:val="0"/>
          <w:sz w:val="18"/>
          <w:szCs w:val="18"/>
        </w:rPr>
      </w:pPr>
      <w:r>
        <w:rPr>
          <w:rFonts w:hint="eastAsia" w:ascii="黑体" w:hAnsi="黑体" w:eastAsia="黑体" w:cs="Segoe UI"/>
          <w:color w:val="auto"/>
          <w:kern w:val="0"/>
          <w:sz w:val="32"/>
          <w:szCs w:val="32"/>
        </w:rPr>
        <w:t>采购文件书装订顺序</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rPr>
        <w:t>1、封面（公司、项目、联系人、联系方式）</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rPr>
        <w:t>2、目录</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rPr>
        <w:t>3、品目及报价表（格式见附件3）</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rPr>
        <w:t>4、规格型号、配置及偏离表（格式见附件3）</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rPr>
        <w:t>5、企业营业执照（复印件）</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rPr>
        <w:t>6、</w:t>
      </w:r>
      <w:r>
        <w:rPr>
          <w:rFonts w:hint="eastAsia" w:ascii="仿宋_GB2312" w:hAnsi="Segoe UI" w:eastAsia="仿宋_GB2312" w:cs="Segoe UI"/>
          <w:color w:val="auto"/>
          <w:kern w:val="0"/>
          <w:sz w:val="24"/>
          <w:szCs w:val="24"/>
        </w:rPr>
        <w:t>组织机构代码证、税务登记证（复印件）</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7、法定代表人授权书（原件，格式见附件3）暨经办人授权书，法定代表人、经办人身份证（复印件）</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8、生产厂家授权书（投标人不是生产厂家的）</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9、如是医疗器械，须提供“中华人民共和国医疗器械生产企业许可证”和“中华人民共和国医疗器械经营企业许可证”（复印件）</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10、如是医疗器械，须提供“医疗器械产品注册证和注册登记表”（复印件）</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11、如有产品质量和企业管理体系认证（考核），请提供的有效证明文件的复印或扫描件，质量管理体系认证包括FDA、CE、ISO等认证（提供中文翻译复印件）</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12、质量检测中心或法定机构出具的产品检测报告，性能自测报告，出厂检验报告的复印或扫描件</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13、如有其他证书：产品在技术、节能、安全、环保和自主创新方面获得的认证证书或制造厂家和产品所获国家级荣誉称号等复印或扫描件</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14、产品如有执行标准请提供相应资料（提供产品注册标准：YZB等资料供评审）</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15、产品质量及货源保证书</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rPr>
        <w:t>16、售后</w:t>
      </w:r>
      <w:r>
        <w:rPr>
          <w:rFonts w:hint="eastAsia" w:ascii="仿宋_GB2312" w:hAnsi="Segoe UI" w:eastAsia="仿宋_GB2312" w:cs="Segoe UI"/>
          <w:color w:val="auto"/>
          <w:kern w:val="0"/>
          <w:sz w:val="24"/>
          <w:szCs w:val="24"/>
        </w:rPr>
        <w:t>服务承诺书，包括质量保证范围，售后服务体系、人员培训计划等，并提供相关人员证明材料，要求见评分办法“售后服务”说明；</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rPr>
        <w:t>17、如有，提供进口原材料证明书或产品报关资料等</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rPr>
        <w:t>18、产品说明书或</w:t>
      </w:r>
      <w:r>
        <w:rPr>
          <w:rFonts w:hint="eastAsia" w:ascii="仿宋_GB2312" w:hAnsi="Segoe UI" w:eastAsia="仿宋_GB2312" w:cs="Segoe UI"/>
          <w:color w:val="auto"/>
          <w:kern w:val="0"/>
          <w:sz w:val="24"/>
          <w:szCs w:val="24"/>
        </w:rPr>
        <w:t>与投标医疗耗材型号一致的产品彩页资料和其他有关介绍资料。</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19、业绩证明文件（用户名单及联系人与联系方式，格式见附件3），并提供相应证明文件，要求见评分办法“业绩”说明。</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20、如有，国家规定的其它相关资质证明文件或其它涉及特许经营许可的须提供相关证书。如：卫生许可证、药品经营许可证、生产批件或新药证书等；</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21、</w:t>
      </w:r>
      <w:r>
        <w:rPr>
          <w:rFonts w:hint="eastAsia" w:ascii="仿宋_GB2312" w:hAnsi="Segoe UI" w:eastAsia="仿宋_GB2312" w:cs="Segoe UI"/>
          <w:color w:val="auto"/>
          <w:spacing w:val="8"/>
          <w:kern w:val="0"/>
          <w:sz w:val="24"/>
          <w:szCs w:val="24"/>
        </w:rPr>
        <w:t>封底</w:t>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b/>
          <w:bCs/>
          <w:color w:val="auto"/>
          <w:kern w:val="0"/>
          <w:sz w:val="24"/>
          <w:szCs w:val="24"/>
        </w:rPr>
        <w:t>注：请务必按以上顺序装订资料，如有非中文资料，请同时提供中文翻译件。</w:t>
      </w:r>
    </w:p>
    <w:p>
      <w:pPr>
        <w:widowControl/>
        <w:jc w:val="left"/>
        <w:rPr>
          <w:rFonts w:ascii="仿宋_GB2312" w:hAnsi="Segoe UI" w:eastAsia="仿宋_GB2312" w:cs="Segoe UI"/>
          <w:b/>
          <w:bCs/>
          <w:color w:val="auto"/>
          <w:kern w:val="0"/>
          <w:sz w:val="28"/>
          <w:szCs w:val="28"/>
        </w:rPr>
      </w:pPr>
      <w:r>
        <w:rPr>
          <w:rFonts w:ascii="仿宋_GB2312" w:hAnsi="Segoe UI" w:eastAsia="仿宋_GB2312" w:cs="Segoe UI"/>
          <w:b/>
          <w:bCs/>
          <w:color w:val="auto"/>
          <w:kern w:val="0"/>
          <w:sz w:val="28"/>
          <w:szCs w:val="28"/>
        </w:rPr>
        <w:br w:type="page"/>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b/>
          <w:bCs/>
          <w:color w:val="auto"/>
          <w:kern w:val="0"/>
          <w:sz w:val="28"/>
          <w:szCs w:val="28"/>
        </w:rPr>
        <w:t>附件4：主要表格格式</w:t>
      </w:r>
    </w:p>
    <w:p>
      <w:pPr>
        <w:widowControl/>
        <w:shd w:val="clear" w:color="auto" w:fill="FFFFFF"/>
        <w:wordWrap w:val="0"/>
        <w:jc w:val="center"/>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p>
    <w:p>
      <w:pPr>
        <w:widowControl/>
        <w:shd w:val="clear" w:color="auto" w:fill="FFFFFF"/>
        <w:wordWrap w:val="0"/>
        <w:spacing w:line="400" w:lineRule="atLeast"/>
        <w:jc w:val="left"/>
        <w:rPr>
          <w:rFonts w:ascii="Segoe UI" w:hAnsi="Segoe UI" w:eastAsia="宋体" w:cs="Segoe UI"/>
          <w:color w:val="auto"/>
          <w:kern w:val="0"/>
          <w:sz w:val="18"/>
          <w:szCs w:val="18"/>
        </w:rPr>
      </w:pPr>
      <w:r>
        <w:rPr>
          <w:rFonts w:hint="eastAsia" w:ascii="仿宋_GB2312" w:hAnsi="Segoe UI" w:eastAsia="仿宋_GB2312" w:cs="Segoe UI"/>
          <w:b/>
          <w:bCs/>
          <w:color w:val="auto"/>
          <w:kern w:val="0"/>
          <w:sz w:val="24"/>
          <w:szCs w:val="24"/>
        </w:rPr>
        <w:t>附件4-1：</w:t>
      </w:r>
    </w:p>
    <w:p>
      <w:pPr>
        <w:widowControl/>
        <w:shd w:val="clear" w:color="auto" w:fill="FFFFFF"/>
        <w:wordWrap w:val="0"/>
        <w:spacing w:line="270" w:lineRule="atLeast"/>
        <w:jc w:val="center"/>
        <w:rPr>
          <w:rFonts w:ascii="Segoe UI" w:hAnsi="Segoe UI" w:eastAsia="宋体" w:cs="Segoe UI"/>
          <w:color w:val="auto"/>
          <w:kern w:val="0"/>
          <w:sz w:val="18"/>
          <w:szCs w:val="18"/>
        </w:rPr>
      </w:pPr>
      <w:r>
        <w:rPr>
          <w:rFonts w:hint="eastAsia" w:ascii="仿宋_GB2312" w:hAnsi="Segoe UI" w:eastAsia="仿宋_GB2312" w:cs="Segoe UI"/>
          <w:b/>
          <w:bCs/>
          <w:color w:val="auto"/>
          <w:kern w:val="0"/>
          <w:sz w:val="24"/>
          <w:szCs w:val="24"/>
        </w:rPr>
        <w:t>偏离表</w:t>
      </w:r>
    </w:p>
    <w:tbl>
      <w:tblPr>
        <w:tblStyle w:val="10"/>
        <w:tblW w:w="0" w:type="auto"/>
        <w:jc w:val="center"/>
        <w:tblLayout w:type="autofit"/>
        <w:tblCellMar>
          <w:top w:w="0" w:type="dxa"/>
          <w:left w:w="0" w:type="dxa"/>
          <w:bottom w:w="0" w:type="dxa"/>
          <w:right w:w="0" w:type="dxa"/>
        </w:tblCellMar>
      </w:tblPr>
      <w:tblGrid>
        <w:gridCol w:w="1055"/>
        <w:gridCol w:w="2299"/>
        <w:gridCol w:w="2299"/>
        <w:gridCol w:w="2869"/>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bl>
    <w:p>
      <w:pPr>
        <w:widowControl/>
        <w:shd w:val="clear" w:color="auto" w:fill="FFFFFF"/>
        <w:wordWrap w:val="0"/>
        <w:spacing w:line="270" w:lineRule="atLeast"/>
        <w:ind w:firstLine="480"/>
        <w:jc w:val="left"/>
        <w:rPr>
          <w:rFonts w:hint="eastAsia" w:ascii="仿宋_GB2312" w:hAnsi="Segoe UI" w:eastAsia="仿宋_GB2312" w:cs="Segoe UI"/>
          <w:color w:val="auto"/>
          <w:kern w:val="0"/>
          <w:sz w:val="22"/>
        </w:rPr>
      </w:pPr>
      <w:r>
        <w:rPr>
          <w:rFonts w:hint="eastAsia" w:ascii="仿宋_GB2312" w:hAnsi="Segoe UI" w:eastAsia="仿宋_GB2312" w:cs="Segoe UI"/>
          <w:color w:val="auto"/>
          <w:kern w:val="0"/>
          <w:sz w:val="22"/>
        </w:rPr>
        <w:t>注：</w:t>
      </w:r>
    </w:p>
    <w:p>
      <w:pPr>
        <w:widowControl/>
        <w:shd w:val="clear" w:color="auto" w:fill="FFFFFF"/>
        <w:wordWrap w:val="0"/>
        <w:spacing w:line="270" w:lineRule="atLeast"/>
        <w:ind w:firstLine="480"/>
        <w:jc w:val="left"/>
        <w:rPr>
          <w:rFonts w:hint="eastAsia" w:ascii="仿宋_GB2312" w:hAnsi="Segoe UI" w:eastAsia="仿宋_GB2312" w:cs="Segoe UI"/>
          <w:color w:val="auto"/>
          <w:kern w:val="0"/>
          <w:sz w:val="22"/>
        </w:rPr>
      </w:pPr>
      <w:r>
        <w:rPr>
          <w:rFonts w:hint="eastAsia" w:ascii="仿宋_GB2312" w:hAnsi="Segoe UI" w:eastAsia="仿宋_GB2312" w:cs="Segoe UI"/>
          <w:color w:val="auto"/>
          <w:kern w:val="0"/>
          <w:sz w:val="22"/>
        </w:rPr>
        <w:t>1、偏离表</w:t>
      </w:r>
      <w:r>
        <w:rPr>
          <w:rFonts w:hint="eastAsia" w:ascii="仿宋_GB2312" w:hAnsi="Segoe UI" w:eastAsia="仿宋_GB2312" w:cs="Segoe UI"/>
          <w:color w:val="auto"/>
          <w:kern w:val="0"/>
          <w:sz w:val="22"/>
          <w:lang w:val="en-US" w:eastAsia="zh-CN"/>
        </w:rPr>
        <w:t>内容包含技术要求、商务要求，</w:t>
      </w:r>
      <w:r>
        <w:rPr>
          <w:rFonts w:hint="eastAsia" w:ascii="仿宋_GB2312" w:hAnsi="Segoe UI" w:eastAsia="仿宋_GB2312" w:cs="Segoe UI"/>
          <w:color w:val="auto"/>
          <w:kern w:val="0"/>
          <w:sz w:val="22"/>
        </w:rPr>
        <w:t>此表要求投标文件与招标文件要求一一对应、逐一列出；</w:t>
      </w:r>
    </w:p>
    <w:p>
      <w:pPr>
        <w:widowControl/>
        <w:shd w:val="clear" w:color="auto" w:fill="FFFFFF"/>
        <w:wordWrap w:val="0"/>
        <w:spacing w:line="270" w:lineRule="atLeast"/>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2"/>
        </w:rPr>
        <w:t>2．投标文件中与招标文件要求有负偏离的内容必须在此表中列出，否则视为无效投标。</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2"/>
        </w:rPr>
        <w:t>法定代表人或授权代表签字：</w:t>
      </w:r>
    </w:p>
    <w:p>
      <w:pPr>
        <w:widowControl/>
        <w:shd w:val="clear" w:color="auto" w:fill="FFFFFF"/>
        <w:wordWrap w:val="0"/>
        <w:spacing w:line="270" w:lineRule="atLeast"/>
        <w:ind w:firstLine="36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2"/>
        </w:rPr>
        <w:t>日期:</w:t>
      </w:r>
    </w:p>
    <w:p>
      <w:pPr>
        <w:widowControl/>
        <w:shd w:val="clear" w:color="auto" w:fill="FFFFFF"/>
        <w:wordWrap w:val="0"/>
        <w:spacing w:line="270" w:lineRule="atLeast"/>
        <w:jc w:val="left"/>
        <w:rPr>
          <w:rFonts w:hint="eastAsia" w:ascii="仿宋_GB2312" w:hAnsi="Segoe UI" w:eastAsia="仿宋_GB2312" w:cs="Segoe UI"/>
          <w:b/>
          <w:bCs/>
          <w:color w:val="auto"/>
          <w:kern w:val="0"/>
          <w:sz w:val="24"/>
          <w:szCs w:val="24"/>
        </w:rPr>
      </w:pPr>
    </w:p>
    <w:p>
      <w:pPr>
        <w:widowControl/>
        <w:shd w:val="clear" w:color="auto" w:fill="FFFFFF"/>
        <w:wordWrap w:val="0"/>
        <w:spacing w:line="270" w:lineRule="atLeast"/>
        <w:jc w:val="left"/>
        <w:rPr>
          <w:rFonts w:ascii="Segoe UI" w:hAnsi="Segoe UI" w:eastAsia="宋体" w:cs="Segoe UI"/>
          <w:color w:val="auto"/>
          <w:kern w:val="0"/>
          <w:sz w:val="18"/>
          <w:szCs w:val="18"/>
        </w:rPr>
      </w:pPr>
      <w:r>
        <w:rPr>
          <w:rFonts w:hint="eastAsia" w:ascii="仿宋_GB2312" w:hAnsi="Segoe UI" w:eastAsia="仿宋_GB2312" w:cs="Segoe UI"/>
          <w:b/>
          <w:bCs/>
          <w:color w:val="auto"/>
          <w:kern w:val="0"/>
          <w:sz w:val="24"/>
          <w:szCs w:val="24"/>
        </w:rPr>
        <w:t>附件4-2：</w:t>
      </w:r>
    </w:p>
    <w:p>
      <w:pPr>
        <w:widowControl/>
        <w:shd w:val="clear" w:color="auto" w:fill="FFFFFF"/>
        <w:wordWrap w:val="0"/>
        <w:jc w:val="center"/>
        <w:rPr>
          <w:rFonts w:ascii="Segoe UI" w:hAnsi="Segoe UI" w:eastAsia="宋体" w:cs="Segoe UI"/>
          <w:color w:val="auto"/>
          <w:kern w:val="0"/>
          <w:sz w:val="18"/>
          <w:szCs w:val="18"/>
        </w:rPr>
      </w:pPr>
      <w:r>
        <w:rPr>
          <w:rFonts w:hint="eastAsia" w:ascii="仿宋_GB2312" w:hAnsi="Segoe UI" w:eastAsia="仿宋_GB2312" w:cs="Segoe UI"/>
          <w:b/>
          <w:bCs/>
          <w:color w:val="auto"/>
          <w:kern w:val="0"/>
          <w:sz w:val="28"/>
          <w:szCs w:val="28"/>
        </w:rPr>
        <w:t>用户情况表</w:t>
      </w:r>
    </w:p>
    <w:tbl>
      <w:tblPr>
        <w:tblStyle w:val="10"/>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省外单位用户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省内单位用户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bl>
    <w:p>
      <w:pPr>
        <w:widowControl/>
        <w:shd w:val="clear" w:color="auto" w:fill="FFFFFF"/>
        <w:wordWrap w:val="0"/>
        <w:spacing w:line="270" w:lineRule="atLeast"/>
        <w:jc w:val="left"/>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法定代表人或授权代表签字：</w:t>
      </w:r>
    </w:p>
    <w:p>
      <w:pPr>
        <w:widowControl/>
        <w:shd w:val="clear" w:color="auto" w:fill="FFFFFF"/>
        <w:wordWrap w:val="0"/>
        <w:spacing w:line="270" w:lineRule="atLeast"/>
        <w:ind w:firstLine="449"/>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日期</w:t>
      </w:r>
      <w:r>
        <w:rPr>
          <w:rFonts w:hint="eastAsia" w:ascii="仿宋_GB2312" w:hAnsi="Segoe UI" w:eastAsia="仿宋_GB2312" w:cs="Segoe UI"/>
          <w:b/>
          <w:bCs/>
          <w:color w:val="auto"/>
          <w:kern w:val="0"/>
          <w:sz w:val="24"/>
          <w:szCs w:val="24"/>
        </w:rPr>
        <w:t>:</w:t>
      </w:r>
    </w:p>
    <w:p>
      <w:pPr>
        <w:widowControl/>
        <w:shd w:val="clear" w:color="auto" w:fill="FFFFFF"/>
        <w:wordWrap w:val="0"/>
        <w:spacing w:line="270" w:lineRule="atLeast"/>
        <w:jc w:val="left"/>
        <w:rPr>
          <w:rFonts w:ascii="Segoe UI" w:hAnsi="Segoe UI" w:eastAsia="宋体" w:cs="Segoe UI"/>
          <w:color w:val="auto"/>
          <w:kern w:val="0"/>
          <w:sz w:val="18"/>
          <w:szCs w:val="18"/>
        </w:rPr>
      </w:pPr>
      <w:bookmarkStart w:id="4" w:name="_Toc95295163"/>
      <w:bookmarkEnd w:id="4"/>
      <w:r>
        <w:rPr>
          <w:rFonts w:hint="eastAsia" w:ascii="仿宋_GB2312" w:hAnsi="Segoe UI" w:eastAsia="仿宋_GB2312" w:cs="Segoe UI"/>
          <w:b/>
          <w:bCs/>
          <w:color w:val="auto"/>
          <w:kern w:val="0"/>
          <w:sz w:val="24"/>
          <w:szCs w:val="24"/>
        </w:rPr>
        <w:t>附件4-3：</w:t>
      </w:r>
    </w:p>
    <w:p>
      <w:pPr>
        <w:widowControl/>
        <w:shd w:val="clear" w:color="auto" w:fill="FFFFFF"/>
        <w:wordWrap w:val="0"/>
        <w:jc w:val="center"/>
        <w:rPr>
          <w:rFonts w:ascii="Segoe UI" w:hAnsi="Segoe UI" w:eastAsia="宋体" w:cs="Segoe UI"/>
          <w:color w:val="auto"/>
          <w:kern w:val="0"/>
          <w:sz w:val="18"/>
          <w:szCs w:val="18"/>
        </w:rPr>
      </w:pPr>
      <w:r>
        <w:rPr>
          <w:rFonts w:hint="eastAsia" w:ascii="黑体" w:hAnsi="黑体" w:eastAsia="黑体" w:cs="Segoe UI"/>
          <w:color w:val="auto"/>
          <w:kern w:val="0"/>
          <w:sz w:val="32"/>
          <w:szCs w:val="32"/>
        </w:rPr>
        <w:t>品目及报价表</w:t>
      </w:r>
    </w:p>
    <w:tbl>
      <w:tblPr>
        <w:tblStyle w:val="10"/>
        <w:tblW w:w="8326" w:type="dxa"/>
        <w:tblInd w:w="0" w:type="dxa"/>
        <w:shd w:val="clear" w:color="auto" w:fill="FFFFFF"/>
        <w:tblLayout w:type="autofit"/>
        <w:tblCellMar>
          <w:top w:w="0" w:type="dxa"/>
          <w:left w:w="0" w:type="dxa"/>
          <w:bottom w:w="0" w:type="dxa"/>
          <w:right w:w="0" w:type="dxa"/>
        </w:tblCellMar>
      </w:tblPr>
      <w:tblGrid>
        <w:gridCol w:w="465"/>
        <w:gridCol w:w="1034"/>
        <w:gridCol w:w="1155"/>
        <w:gridCol w:w="1283"/>
        <w:gridCol w:w="838"/>
        <w:gridCol w:w="1211"/>
        <w:gridCol w:w="1261"/>
        <w:gridCol w:w="1079"/>
      </w:tblGrid>
      <w:tr>
        <w:tblPrEx>
          <w:tblCellMar>
            <w:top w:w="0" w:type="dxa"/>
            <w:left w:w="0" w:type="dxa"/>
            <w:bottom w:w="0" w:type="dxa"/>
            <w:right w:w="0" w:type="dxa"/>
          </w:tblCellMar>
        </w:tblPrEx>
        <w:trPr>
          <w:trHeight w:val="735" w:hRule="atLeast"/>
        </w:trPr>
        <w:tc>
          <w:tcPr>
            <w:tcW w:w="46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序号</w:t>
            </w:r>
          </w:p>
        </w:tc>
        <w:tc>
          <w:tcPr>
            <w:tcW w:w="103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产品</w:t>
            </w:r>
          </w:p>
          <w:p>
            <w:pPr>
              <w:widowControl/>
              <w:wordWrap w:val="0"/>
              <w:jc w:val="center"/>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名称</w:t>
            </w:r>
          </w:p>
        </w:tc>
        <w:tc>
          <w:tcPr>
            <w:tcW w:w="115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制造商名称</w:t>
            </w:r>
          </w:p>
        </w:tc>
        <w:tc>
          <w:tcPr>
            <w:tcW w:w="128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规格型号</w:t>
            </w:r>
          </w:p>
        </w:tc>
        <w:tc>
          <w:tcPr>
            <w:tcW w:w="83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单位</w:t>
            </w:r>
          </w:p>
        </w:tc>
        <w:tc>
          <w:tcPr>
            <w:tcW w:w="1211" w:type="dxa"/>
            <w:tcBorders>
              <w:top w:val="single" w:color="auto" w:sz="8" w:space="0"/>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数量</w:t>
            </w:r>
          </w:p>
        </w:tc>
        <w:tc>
          <w:tcPr>
            <w:tcW w:w="1261" w:type="dxa"/>
            <w:tcBorders>
              <w:top w:val="single" w:color="auto" w:sz="8" w:space="0"/>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单价</w:t>
            </w:r>
          </w:p>
          <w:p>
            <w:pPr>
              <w:widowControl/>
              <w:wordWrap w:val="0"/>
              <w:jc w:val="center"/>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（元）</w:t>
            </w:r>
          </w:p>
        </w:tc>
        <w:tc>
          <w:tcPr>
            <w:tcW w:w="1079" w:type="dxa"/>
            <w:tcBorders>
              <w:top w:val="single" w:color="auto" w:sz="8" w:space="0"/>
              <w:left w:val="single" w:color="auto" w:sz="4" w:space="0"/>
              <w:bottom w:val="single" w:color="auto" w:sz="8" w:space="0"/>
              <w:right w:val="single" w:color="auto" w:sz="8" w:space="0"/>
            </w:tcBorders>
            <w:shd w:val="clear" w:color="auto" w:fill="FFFFFF"/>
          </w:tcPr>
          <w:p>
            <w:pPr>
              <w:widowControl/>
              <w:jc w:val="center"/>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成交总价（元）</w:t>
            </w:r>
          </w:p>
        </w:tc>
      </w:tr>
      <w:tr>
        <w:tblPrEx>
          <w:shd w:val="clear" w:color="auto" w:fill="FFFFFF"/>
          <w:tblCellMar>
            <w:top w:w="0" w:type="dxa"/>
            <w:left w:w="0" w:type="dxa"/>
            <w:bottom w:w="0" w:type="dxa"/>
            <w:right w:w="0" w:type="dxa"/>
          </w:tblCellMar>
        </w:tblPrEx>
        <w:trPr>
          <w:trHeight w:val="392" w:hRule="atLeast"/>
        </w:trPr>
        <w:tc>
          <w:tcPr>
            <w:tcW w:w="46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r>
              <w:rPr>
                <w:rFonts w:hint="eastAsia" w:ascii="Segoe UI" w:hAnsi="Segoe UI" w:eastAsia="宋体" w:cs="Segoe UI"/>
                <w:color w:val="auto"/>
                <w:kern w:val="0"/>
                <w:sz w:val="18"/>
                <w:szCs w:val="18"/>
              </w:rPr>
              <w:t>1</w:t>
            </w:r>
          </w:p>
        </w:tc>
        <w:tc>
          <w:tcPr>
            <w:tcW w:w="10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auto"/>
                <w:kern w:val="0"/>
                <w:sz w:val="22"/>
              </w:rPr>
            </w:pPr>
          </w:p>
        </w:tc>
        <w:tc>
          <w:tcPr>
            <w:tcW w:w="11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auto"/>
                <w:kern w:val="0"/>
                <w:sz w:val="22"/>
              </w:rPr>
            </w:pPr>
          </w:p>
        </w:tc>
        <w:tc>
          <w:tcPr>
            <w:tcW w:w="12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p>
        </w:tc>
        <w:tc>
          <w:tcPr>
            <w:tcW w:w="8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p>
        </w:tc>
        <w:tc>
          <w:tcPr>
            <w:tcW w:w="1211" w:type="dxa"/>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auto"/>
                <w:kern w:val="0"/>
                <w:sz w:val="24"/>
              </w:rPr>
            </w:pPr>
          </w:p>
        </w:tc>
        <w:tc>
          <w:tcPr>
            <w:tcW w:w="1261" w:type="dxa"/>
            <w:tcBorders>
              <w:top w:val="nil"/>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auto"/>
                <w:kern w:val="0"/>
                <w:sz w:val="24"/>
              </w:rPr>
            </w:pPr>
          </w:p>
        </w:tc>
        <w:tc>
          <w:tcPr>
            <w:tcW w:w="1079" w:type="dxa"/>
            <w:tcBorders>
              <w:top w:val="nil"/>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auto"/>
                <w:kern w:val="0"/>
                <w:sz w:val="18"/>
                <w:szCs w:val="18"/>
              </w:rPr>
            </w:pPr>
          </w:p>
        </w:tc>
      </w:tr>
      <w:tr>
        <w:tblPrEx>
          <w:shd w:val="clear" w:color="auto" w:fill="FFFFFF"/>
          <w:tblCellMar>
            <w:top w:w="0" w:type="dxa"/>
            <w:left w:w="0" w:type="dxa"/>
            <w:bottom w:w="0" w:type="dxa"/>
            <w:right w:w="0" w:type="dxa"/>
          </w:tblCellMar>
        </w:tblPrEx>
        <w:trPr>
          <w:trHeight w:val="392" w:hRule="atLeast"/>
        </w:trPr>
        <w:tc>
          <w:tcPr>
            <w:tcW w:w="46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r>
              <w:rPr>
                <w:rFonts w:hint="eastAsia" w:ascii="Segoe UI" w:hAnsi="Segoe UI" w:eastAsia="宋体" w:cs="Segoe UI"/>
                <w:color w:val="auto"/>
                <w:kern w:val="0"/>
                <w:sz w:val="18"/>
                <w:szCs w:val="18"/>
              </w:rPr>
              <w:t>2</w:t>
            </w:r>
          </w:p>
        </w:tc>
        <w:tc>
          <w:tcPr>
            <w:tcW w:w="10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auto"/>
                <w:kern w:val="0"/>
                <w:sz w:val="22"/>
              </w:rPr>
            </w:pPr>
          </w:p>
        </w:tc>
        <w:tc>
          <w:tcPr>
            <w:tcW w:w="11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auto"/>
                <w:kern w:val="0"/>
                <w:sz w:val="22"/>
              </w:rPr>
            </w:pPr>
          </w:p>
        </w:tc>
        <w:tc>
          <w:tcPr>
            <w:tcW w:w="12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p>
        </w:tc>
        <w:tc>
          <w:tcPr>
            <w:tcW w:w="8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p>
        </w:tc>
        <w:tc>
          <w:tcPr>
            <w:tcW w:w="1211" w:type="dxa"/>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auto"/>
                <w:kern w:val="0"/>
                <w:sz w:val="24"/>
              </w:rPr>
            </w:pPr>
          </w:p>
        </w:tc>
        <w:tc>
          <w:tcPr>
            <w:tcW w:w="1261" w:type="dxa"/>
            <w:tcBorders>
              <w:top w:val="nil"/>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auto"/>
                <w:kern w:val="0"/>
                <w:sz w:val="24"/>
              </w:rPr>
            </w:pPr>
          </w:p>
        </w:tc>
        <w:tc>
          <w:tcPr>
            <w:tcW w:w="1079" w:type="dxa"/>
            <w:tcBorders>
              <w:top w:val="nil"/>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auto"/>
                <w:kern w:val="0"/>
                <w:sz w:val="18"/>
                <w:szCs w:val="18"/>
              </w:rPr>
            </w:pPr>
          </w:p>
        </w:tc>
      </w:tr>
      <w:tr>
        <w:tblPrEx>
          <w:shd w:val="clear" w:color="auto" w:fill="FFFFFF"/>
          <w:tblCellMar>
            <w:top w:w="0" w:type="dxa"/>
            <w:left w:w="0" w:type="dxa"/>
            <w:bottom w:w="0" w:type="dxa"/>
            <w:right w:w="0" w:type="dxa"/>
          </w:tblCellMar>
        </w:tblPrEx>
        <w:trPr>
          <w:trHeight w:val="768" w:hRule="atLeast"/>
        </w:trPr>
        <w:tc>
          <w:tcPr>
            <w:tcW w:w="7247" w:type="dxa"/>
            <w:gridSpan w:val="7"/>
            <w:tcBorders>
              <w:top w:val="single" w:color="auto" w:sz="4" w:space="0"/>
              <w:left w:val="single" w:color="auto" w:sz="8"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成交总价（元）</w:t>
            </w:r>
          </w:p>
        </w:tc>
        <w:tc>
          <w:tcPr>
            <w:tcW w:w="1079" w:type="dxa"/>
            <w:tcBorders>
              <w:top w:val="single" w:color="auto" w:sz="4" w:space="0"/>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auto"/>
                <w:kern w:val="0"/>
                <w:sz w:val="18"/>
                <w:szCs w:val="18"/>
              </w:rPr>
            </w:pPr>
          </w:p>
        </w:tc>
      </w:tr>
    </w:tbl>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注：1.报价应是最终用户验收合格后的总价，包括设备运输、保险、代理、安装调试、培训、税费、系统集成费用和采购文件规定的其它费用。</w:t>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2.“序号”，按照各产品技术参数对应的序号填写。</w:t>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3.“品目及报价表”为多页的，每页均需由法定代表人或授权代表签字并盖投标人印章。</w:t>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4.“品目及报价表”需单独密封。</w:t>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5、如有配套耗材，请参照此表报价。</w:t>
      </w:r>
    </w:p>
    <w:p>
      <w:pPr>
        <w:widowControl/>
        <w:shd w:val="clear" w:color="auto" w:fill="FFFFFF"/>
        <w:wordWrap w:val="0"/>
        <w:jc w:val="left"/>
        <w:rPr>
          <w:rFonts w:ascii="仿宋_GB2312" w:hAnsi="Segoe UI" w:eastAsia="仿宋_GB2312" w:cs="Segoe UI"/>
          <w:b/>
          <w:color w:val="auto"/>
          <w:kern w:val="0"/>
          <w:sz w:val="24"/>
          <w:szCs w:val="24"/>
        </w:rPr>
      </w:pPr>
      <w:r>
        <w:rPr>
          <w:rFonts w:hint="eastAsia" w:ascii="仿宋_GB2312" w:hAnsi="Segoe UI" w:eastAsia="仿宋_GB2312" w:cs="Segoe UI"/>
          <w:b/>
          <w:color w:val="auto"/>
          <w:kern w:val="0"/>
          <w:sz w:val="24"/>
          <w:szCs w:val="24"/>
        </w:rPr>
        <w:t>6、如有多种规格，请按每种规格分别报价，产品的最终计算单价以不同规格报价的均价为准。</w:t>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供应商名称：（盖章）</w:t>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法定代表人或授权代表（签字）：日期：</w:t>
      </w:r>
    </w:p>
    <w:p>
      <w:pPr>
        <w:widowControl/>
        <w:jc w:val="left"/>
        <w:rPr>
          <w:rFonts w:ascii="仿宋_GB2312" w:hAnsi="Segoe UI" w:eastAsia="仿宋_GB2312" w:cs="Segoe UI"/>
          <w:b/>
          <w:bCs/>
          <w:color w:val="auto"/>
          <w:kern w:val="0"/>
          <w:sz w:val="24"/>
          <w:szCs w:val="24"/>
        </w:rPr>
      </w:pPr>
      <w:r>
        <w:rPr>
          <w:rFonts w:ascii="仿宋_GB2312" w:hAnsi="Segoe UI" w:eastAsia="仿宋_GB2312" w:cs="Segoe UI"/>
          <w:b/>
          <w:bCs/>
          <w:color w:val="auto"/>
          <w:kern w:val="0"/>
          <w:sz w:val="24"/>
          <w:szCs w:val="24"/>
        </w:rPr>
        <w:br w:type="page"/>
      </w:r>
    </w:p>
    <w:p>
      <w:pPr>
        <w:widowControl/>
        <w:shd w:val="clear" w:color="auto" w:fill="FFFFFF"/>
        <w:wordWrap w:val="0"/>
        <w:ind w:left="720" w:hanging="720"/>
        <w:jc w:val="left"/>
        <w:rPr>
          <w:rFonts w:ascii="Segoe UI" w:hAnsi="Segoe UI" w:eastAsia="宋体" w:cs="Segoe UI"/>
          <w:color w:val="auto"/>
          <w:kern w:val="0"/>
          <w:sz w:val="18"/>
          <w:szCs w:val="18"/>
        </w:rPr>
      </w:pPr>
      <w:r>
        <w:rPr>
          <w:rFonts w:hint="eastAsia" w:ascii="仿宋_GB2312" w:hAnsi="Segoe UI" w:eastAsia="仿宋_GB2312" w:cs="Segoe UI"/>
          <w:b/>
          <w:bCs/>
          <w:color w:val="auto"/>
          <w:kern w:val="0"/>
          <w:sz w:val="24"/>
          <w:szCs w:val="24"/>
        </w:rPr>
        <w:t>附件4-4：</w:t>
      </w:r>
      <w:r>
        <w:rPr>
          <w:rFonts w:hint="eastAsia" w:ascii="黑体" w:hAnsi="黑体" w:eastAsia="黑体" w:cs="Segoe UI"/>
          <w:b/>
          <w:bCs/>
          <w:color w:val="auto"/>
          <w:kern w:val="0"/>
          <w:sz w:val="24"/>
          <w:szCs w:val="24"/>
        </w:rPr>
        <w:t>法定代表人身份授权书</w:t>
      </w:r>
    </w:p>
    <w:p>
      <w:pPr>
        <w:widowControl/>
        <w:shd w:val="clear" w:color="auto" w:fill="FFFFFF"/>
        <w:wordWrap w:val="0"/>
        <w:spacing w:line="270" w:lineRule="atLeast"/>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（采购单位名称）：</w:t>
      </w:r>
    </w:p>
    <w:p>
      <w:pPr>
        <w:widowControl/>
        <w:shd w:val="clear" w:color="auto" w:fill="FFFFFF"/>
        <w:wordWrap w:val="0"/>
        <w:spacing w:line="270" w:lineRule="atLeast"/>
        <w:ind w:firstLine="573"/>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本授权声明：（投标人名称）</w:t>
      </w:r>
    </w:p>
    <w:p>
      <w:pPr>
        <w:widowControl/>
        <w:shd w:val="clear" w:color="auto" w:fill="FFFFFF"/>
        <w:wordWrap w:val="0"/>
        <w:spacing w:line="270" w:lineRule="atLeast"/>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（法定代表人姓名、职务）授权（被授权人姓名、职务）为我方</w:t>
      </w:r>
      <w:r>
        <w:rPr>
          <w:rFonts w:hint="eastAsia" w:ascii="仿宋_GB2312" w:hAnsi="Segoe UI" w:eastAsia="仿宋_GB2312" w:cs="Segoe UI"/>
          <w:color w:val="auto"/>
          <w:kern w:val="0"/>
          <w:sz w:val="24"/>
          <w:szCs w:val="24"/>
          <w:u w:val="single"/>
        </w:rPr>
        <w:t>“”</w:t>
      </w:r>
      <w:r>
        <w:rPr>
          <w:rFonts w:hint="eastAsia" w:ascii="仿宋_GB2312" w:hAnsi="Segoe UI" w:eastAsia="仿宋_GB2312" w:cs="Segoe UI"/>
          <w:color w:val="auto"/>
          <w:kern w:val="0"/>
          <w:sz w:val="24"/>
          <w:szCs w:val="24"/>
        </w:rPr>
        <w:t>项目投标活动的合法代表，以我方名义全权处理该项目有关投标、签订合同以及执行合同等一切事宜。</w:t>
      </w:r>
    </w:p>
    <w:p>
      <w:pPr>
        <w:widowControl/>
        <w:shd w:val="clear" w:color="auto" w:fill="FFFFFF"/>
        <w:wordWrap w:val="0"/>
        <w:spacing w:line="270" w:lineRule="atLeast"/>
        <w:ind w:firstLine="573"/>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特此声明。</w:t>
      </w:r>
    </w:p>
    <w:p>
      <w:pPr>
        <w:widowControl/>
        <w:shd w:val="clear" w:color="auto" w:fill="FFFFFF"/>
        <w:wordWrap w:val="0"/>
        <w:spacing w:line="270" w:lineRule="atLeast"/>
        <w:ind w:firstLine="573"/>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授权代表签字：</w:t>
      </w:r>
    </w:p>
    <w:p>
      <w:pPr>
        <w:widowControl/>
        <w:shd w:val="clear" w:color="auto" w:fill="FFFFFF"/>
        <w:wordWrap w:val="0"/>
        <w:spacing w:line="270" w:lineRule="atLeast"/>
        <w:ind w:firstLine="573"/>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被授权代表签字：</w:t>
      </w:r>
    </w:p>
    <w:p>
      <w:pPr>
        <w:widowControl/>
        <w:shd w:val="clear" w:color="auto" w:fill="FFFFFF"/>
        <w:wordWrap w:val="0"/>
        <w:spacing w:line="270" w:lineRule="atLeast"/>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投标人名称：（加盖公章）</w:t>
      </w:r>
    </w:p>
    <w:p>
      <w:pPr>
        <w:widowControl/>
        <w:shd w:val="clear" w:color="auto" w:fill="FFFFFF"/>
        <w:wordWrap w:val="0"/>
        <w:spacing w:line="270" w:lineRule="atLeast"/>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日期：</w:t>
      </w:r>
    </w:p>
    <w:p>
      <w:pPr>
        <w:widowControl/>
        <w:shd w:val="clear" w:color="auto" w:fill="FFFFFF"/>
        <w:wordWrap w:val="0"/>
        <w:spacing w:line="270" w:lineRule="atLeast"/>
        <w:ind w:left="480" w:hanging="36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★说明：上述证明文件附有法定代表人、被授权代表身份证复印件（加盖公章）时才能生效。</w:t>
      </w:r>
    </w:p>
    <w:p>
      <w:pPr>
        <w:widowControl/>
        <w:shd w:val="clear" w:color="auto" w:fill="FFFFFF"/>
        <w:wordWrap w:val="0"/>
        <w:jc w:val="left"/>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p>
    <w:p>
      <w:pPr>
        <w:widowControl/>
        <w:jc w:val="left"/>
        <w:rPr>
          <w:rFonts w:ascii="仿宋_GB2312" w:hAnsi="Segoe UI" w:eastAsia="仿宋_GB2312" w:cs="Segoe UI"/>
          <w:b/>
          <w:bCs/>
          <w:color w:val="auto"/>
          <w:kern w:val="0"/>
          <w:sz w:val="24"/>
          <w:szCs w:val="24"/>
        </w:rPr>
      </w:pPr>
      <w:r>
        <w:rPr>
          <w:rFonts w:ascii="仿宋_GB2312" w:hAnsi="Segoe UI" w:eastAsia="仿宋_GB2312" w:cs="Segoe UI"/>
          <w:b/>
          <w:bCs/>
          <w:color w:val="auto"/>
          <w:kern w:val="0"/>
          <w:sz w:val="24"/>
          <w:szCs w:val="24"/>
        </w:rPr>
        <w:br w:type="page"/>
      </w:r>
    </w:p>
    <w:p>
      <w:pPr>
        <w:widowControl/>
        <w:shd w:val="clear" w:color="auto" w:fill="FFFFFF"/>
        <w:wordWrap w:val="0"/>
        <w:spacing w:line="270" w:lineRule="atLeast"/>
        <w:jc w:val="left"/>
        <w:rPr>
          <w:rFonts w:ascii="Segoe UI" w:hAnsi="Segoe UI" w:eastAsia="宋体" w:cs="Segoe UI"/>
          <w:color w:val="auto"/>
          <w:kern w:val="0"/>
          <w:sz w:val="18"/>
          <w:szCs w:val="18"/>
        </w:rPr>
      </w:pPr>
      <w:r>
        <w:rPr>
          <w:rFonts w:hint="eastAsia" w:ascii="仿宋_GB2312" w:hAnsi="Segoe UI" w:eastAsia="仿宋_GB2312" w:cs="Segoe UI"/>
          <w:b/>
          <w:bCs/>
          <w:color w:val="auto"/>
          <w:kern w:val="0"/>
          <w:sz w:val="24"/>
          <w:szCs w:val="24"/>
        </w:rPr>
        <w:t>附件5：反商业贿赂承诺书</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二、本厂家、商家、公司保证在药品、医疗器械、设备、物资、基建工程竞标工作及药品、试剂销售等工作中承诺做到：</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1、不与其他投标人相互串通投标报价，损害贵院的合法权益；</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2、不与招标人串通投标，损害国家利益、社会公共利益或他人的合法权益；</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3、不以向招标人或者评标委员会成员行贿的手段谋取中标；</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4、竞标报价不违反相关法律的规定，也不以他人名义投标或者以其他方式弄虚作假，骗取中标；</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5、保证不以其他任何方式扰乱贵院的招标工作；</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8、保证不让贵院临床科室、药剂部门以及有关人员登记、统计医生处方或为此提供方便，干扰贵院的正常工作秩序；</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9、保证不以其他任何不正当竞争手段推销药品、医疗器械、设备、物资。</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三、本厂家、商家、公司保证竭力维护贵院的声誉，不做任何有损贵院形象的事情。</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2、对本厂家、商家、公司相关工作人员作出严肃处理；</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六、采购物资名称：</w:t>
      </w:r>
    </w:p>
    <w:p>
      <w:pPr>
        <w:widowControl/>
        <w:shd w:val="clear" w:color="auto" w:fill="FFFFFF"/>
        <w:wordWrap w:val="0"/>
        <w:spacing w:line="270" w:lineRule="atLeast"/>
        <w:jc w:val="left"/>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r>
        <w:rPr>
          <w:rFonts w:hint="eastAsia" w:ascii="仿宋_GB2312" w:hAnsi="Segoe UI" w:eastAsia="仿宋_GB2312" w:cs="Segoe UI"/>
          <w:color w:val="auto"/>
          <w:kern w:val="0"/>
          <w:sz w:val="24"/>
          <w:szCs w:val="24"/>
        </w:rPr>
        <w:t>本《承诺书》一式二份（一份由承诺人自存；一份随投标文件装订）</w:t>
      </w:r>
    </w:p>
    <w:p>
      <w:pPr>
        <w:widowControl/>
        <w:shd w:val="clear" w:color="auto" w:fill="FFFFFF"/>
        <w:wordWrap w:val="0"/>
        <w:spacing w:line="270" w:lineRule="atLeast"/>
        <w:ind w:firstLine="240" w:firstLineChars="10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承诺企业名称（公章）法人代表或委托代理人（承诺人）</w:t>
      </w:r>
    </w:p>
    <w:p>
      <w:pPr>
        <w:widowControl/>
        <w:shd w:val="clear" w:color="auto" w:fill="FFFFFF"/>
        <w:wordWrap w:val="0"/>
        <w:ind w:left="-850" w:leftChars="-405"/>
        <w:jc w:val="left"/>
        <w:rPr>
          <w:rFonts w:ascii="微软雅黑" w:hAnsi="微软雅黑" w:eastAsia="微软雅黑" w:cs="Segoe UI"/>
          <w:color w:val="auto"/>
          <w:kern w:val="0"/>
          <w:sz w:val="24"/>
          <w:szCs w:val="24"/>
        </w:rPr>
      </w:pPr>
      <w:r>
        <w:rPr>
          <w:rFonts w:hint="eastAsia" w:ascii="微软雅黑" w:hAnsi="微软雅黑" w:eastAsia="微软雅黑" w:cs="Segoe UI"/>
          <w:color w:val="auto"/>
          <w:kern w:val="0"/>
          <w:sz w:val="24"/>
          <w:szCs w:val="24"/>
        </w:rPr>
        <w:t>附件6：</w:t>
      </w:r>
    </w:p>
    <w:p>
      <w:pPr>
        <w:pStyle w:val="4"/>
        <w:ind w:firstLine="2108" w:firstLineChars="750"/>
        <w:rPr>
          <w:rFonts w:ascii="仿宋_GB2312" w:hAnsi="Segoe UI" w:eastAsia="仿宋_GB2312" w:cs="Segoe UI"/>
          <w:b/>
          <w:bCs/>
          <w:color w:val="auto"/>
          <w:kern w:val="0"/>
          <w:sz w:val="28"/>
          <w:szCs w:val="28"/>
        </w:rPr>
      </w:pPr>
      <w:r>
        <w:rPr>
          <w:rFonts w:hint="eastAsia" w:ascii="仿宋_GB2312" w:hAnsi="Segoe UI" w:eastAsia="仿宋_GB2312" w:cs="Segoe UI"/>
          <w:b/>
          <w:bCs/>
          <w:color w:val="auto"/>
          <w:kern w:val="0"/>
          <w:sz w:val="28"/>
          <w:szCs w:val="28"/>
        </w:rPr>
        <w:t xml:space="preserve"> 无围标、串标行为承诺书</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本公司郑重承诺：我公司自觉遵守《中华人民共和国政府采购法》和《中华人民共和国政府采购法实施条例》的有关规定，我公司在参加本次项目（项目名称：XXXXXXX）采购活动中，无以下围标、串标行为：</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1.不同供应商的投标文件由同一单位或者个人编制；</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2.不同供应商委托同一单位或者个人办理投标事宜；</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3.不同供应商的投标文件载明的项目管理成员或者联系人员为同一人；</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4.不同供应商的投标文件异常一致或者投标报价呈规律性差异；</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5.不同供应商的投标文件相互混装；</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6.不同供应商的投标保证金从同一单位或者个人的账户转出；</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7.不同供应商的董事、监事、高管、单位负责人为同一人或者存在控股、管理关系的不同单位参加同一采购项目；</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8.供应商之间事先约定由某一特定供应商中标、成交；</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9.供应商之间商定部分供应商放弃参加采购活动或者放弃中标、成交；</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10.法律法规界定的其他围标串标行为。</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投标人法人代表或委托代理人（承诺人） ：</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 xml:space="preserve">投标人：（公章）  </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日期：   年    月    日</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spacing w:line="270" w:lineRule="atLeast"/>
        <w:ind w:firstLine="180" w:firstLineChars="100"/>
        <w:jc w:val="left"/>
        <w:rPr>
          <w:rFonts w:ascii="Segoe UI" w:hAnsi="Segoe UI" w:eastAsia="宋体" w:cs="Segoe UI"/>
          <w:color w:val="auto"/>
          <w:kern w:val="0"/>
          <w:sz w:val="18"/>
          <w:szCs w:val="18"/>
        </w:rPr>
      </w:pPr>
    </w:p>
    <w:p>
      <w:pPr>
        <w:widowControl/>
        <w:shd w:val="clear" w:color="auto" w:fill="FFFFFF"/>
        <w:wordWrap w:val="0"/>
        <w:ind w:left="-850" w:leftChars="-405"/>
        <w:jc w:val="left"/>
        <w:rPr>
          <w:rFonts w:ascii="微软雅黑" w:hAnsi="微软雅黑" w:eastAsia="微软雅黑" w:cs="Segoe UI"/>
          <w:bCs/>
          <w:color w:val="auto"/>
          <w:kern w:val="0"/>
          <w:sz w:val="28"/>
          <w:szCs w:val="28"/>
        </w:rPr>
      </w:pPr>
    </w:p>
    <w:p>
      <w:pPr>
        <w:widowControl/>
        <w:shd w:val="clear" w:color="auto" w:fill="FFFFFF"/>
        <w:wordWrap w:val="0"/>
        <w:ind w:left="-850" w:leftChars="-405"/>
        <w:jc w:val="left"/>
        <w:rPr>
          <w:rFonts w:ascii="微软雅黑" w:hAnsi="微软雅黑" w:eastAsia="微软雅黑" w:cs="Segoe UI"/>
          <w:bCs/>
          <w:color w:val="auto"/>
          <w:kern w:val="0"/>
          <w:sz w:val="28"/>
          <w:szCs w:val="28"/>
        </w:rPr>
      </w:pPr>
    </w:p>
    <w:p>
      <w:pPr>
        <w:widowControl/>
        <w:shd w:val="clear" w:color="auto" w:fill="FFFFFF"/>
        <w:wordWrap w:val="0"/>
        <w:ind w:left="-850" w:leftChars="-405"/>
        <w:jc w:val="left"/>
        <w:rPr>
          <w:rFonts w:ascii="微软雅黑" w:hAnsi="微软雅黑" w:eastAsia="微软雅黑" w:cs="Segoe UI"/>
          <w:bCs/>
          <w:color w:val="auto"/>
          <w:kern w:val="0"/>
          <w:sz w:val="28"/>
          <w:szCs w:val="28"/>
        </w:rPr>
      </w:pPr>
    </w:p>
    <w:p>
      <w:pPr>
        <w:widowControl/>
        <w:shd w:val="clear" w:color="auto" w:fill="FFFFFF"/>
        <w:wordWrap w:val="0"/>
        <w:ind w:left="-850" w:leftChars="-405"/>
        <w:jc w:val="left"/>
        <w:rPr>
          <w:rFonts w:ascii="微软雅黑" w:hAnsi="微软雅黑" w:eastAsia="微软雅黑" w:cs="Segoe UI"/>
          <w:bCs/>
          <w:color w:val="auto"/>
          <w:kern w:val="0"/>
          <w:sz w:val="28"/>
          <w:szCs w:val="28"/>
        </w:rPr>
      </w:pPr>
    </w:p>
    <w:p>
      <w:pPr>
        <w:widowControl/>
        <w:shd w:val="clear" w:color="auto" w:fill="FFFFFF"/>
        <w:wordWrap w:val="0"/>
        <w:ind w:left="-850" w:leftChars="-405"/>
        <w:jc w:val="left"/>
        <w:rPr>
          <w:rFonts w:ascii="微软雅黑" w:hAnsi="微软雅黑" w:eastAsia="微软雅黑" w:cs="Segoe UI"/>
          <w:bCs/>
          <w:color w:val="auto"/>
          <w:kern w:val="0"/>
          <w:sz w:val="28"/>
          <w:szCs w:val="28"/>
        </w:rPr>
      </w:pPr>
    </w:p>
    <w:p>
      <w:pPr>
        <w:widowControl/>
        <w:shd w:val="clear" w:color="auto" w:fill="FFFFFF"/>
        <w:wordWrap w:val="0"/>
        <w:ind w:left="-850" w:leftChars="-405"/>
        <w:jc w:val="left"/>
        <w:rPr>
          <w:rFonts w:ascii="微软雅黑" w:hAnsi="微软雅黑" w:eastAsia="微软雅黑" w:cs="Segoe UI"/>
          <w:bCs/>
          <w:color w:val="auto"/>
          <w:kern w:val="0"/>
          <w:sz w:val="28"/>
          <w:szCs w:val="28"/>
        </w:rPr>
      </w:pPr>
    </w:p>
    <w:p>
      <w:pPr>
        <w:widowControl/>
        <w:shd w:val="clear" w:color="auto" w:fill="FFFFFF"/>
        <w:wordWrap w:val="0"/>
        <w:ind w:left="-850" w:leftChars="-405"/>
        <w:jc w:val="left"/>
        <w:rPr>
          <w:rFonts w:ascii="Times New Roman" w:hAnsi="Times New Roman" w:eastAsia="方正小标宋简体" w:cs="Times New Roman"/>
          <w:color w:val="auto"/>
          <w:kern w:val="0"/>
          <w:sz w:val="44"/>
          <w:szCs w:val="44"/>
        </w:rPr>
      </w:pPr>
      <w:r>
        <w:rPr>
          <w:rFonts w:hint="eastAsia" w:ascii="微软雅黑" w:hAnsi="微软雅黑" w:eastAsia="微软雅黑" w:cs="Segoe UI"/>
          <w:bCs/>
          <w:color w:val="auto"/>
          <w:kern w:val="0"/>
          <w:sz w:val="28"/>
          <w:szCs w:val="28"/>
        </w:rPr>
        <w:t>附件7：</w:t>
      </w:r>
    </w:p>
    <w:p>
      <w:pPr>
        <w:widowControl/>
        <w:jc w:val="center"/>
        <w:rPr>
          <w:rFonts w:ascii="仿宋_GB2312" w:hAnsi="Segoe UI" w:eastAsia="仿宋_GB2312" w:cs="Segoe UI"/>
          <w:b/>
          <w:bCs/>
          <w:color w:val="auto"/>
          <w:kern w:val="0"/>
          <w:sz w:val="28"/>
          <w:szCs w:val="28"/>
        </w:rPr>
      </w:pPr>
      <w:r>
        <w:rPr>
          <w:rFonts w:ascii="仿宋_GB2312" w:hAnsi="Segoe UI" w:eastAsia="仿宋_GB2312" w:cs="Segoe UI"/>
          <w:b/>
          <w:bCs/>
          <w:color w:val="auto"/>
          <w:kern w:val="0"/>
          <w:sz w:val="28"/>
          <w:szCs w:val="28"/>
        </w:rPr>
        <w:t>供应商遵守招标采购纪律承诺书</w:t>
      </w:r>
    </w:p>
    <w:p>
      <w:pPr>
        <w:jc w:val="center"/>
        <w:rPr>
          <w:rFonts w:ascii="Times New Roman" w:hAnsi="Times New Roman" w:cs="Times New Roman"/>
          <w:color w:val="auto"/>
          <w:kern w:val="0"/>
          <w:sz w:val="28"/>
          <w:szCs w:val="28"/>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致四川省妇幼保健院：</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我单位作为本次采购项目的供应商，根据响应文件要求，现郑重承诺如下：</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一、参加本次采购活动，我单位不存在与单位负责人为同一人或者存在直接控股、管理关系的其他供应商参与同一合同项下的采购活动的行为。</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二、参加本次采购活动，不得直接或者间接从采购人或者采购代理机构处获得其他供应商的相关情况并修改其投标文件或者响应文件。</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三、参加本次采购活动，不得按照采购人的授意撤换、修改投标文件或者响应文件。</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四、参加本次采购活动，不得和本次采购供应商之间协商报价、技术方案等投标文件或者响应文件的实质性内容。</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五、本次采购活动中，不存在属于同一集团、协会、商会等组织成员的供应商按照该组织要求协同参加本次采购活动。</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六、参加本次采购活动，不存在与其他供应商之间事先约定由某一特定供应商中标、成交。</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七、参加本次采购活动，不存在与其他供应商商定部分供应商放弃参加采购活动或者放弃中标、成交。</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八、参加本次采购活动，不存在我单位的投标文件或者响应文件由其他参与本项目的单位或个人编制或委托办理投标事宜。</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九、参加本次采购活动，不存在我单位与采购人之间、供应商相互之间，为谋求特定供应商中标、成交或者排斥其他供应商的其他串通行为。</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十、与我方存在直接控股关系的单位为：</w:t>
      </w:r>
      <w:r>
        <w:rPr>
          <w:rFonts w:hint="eastAsia" w:ascii="仿宋_GB2312" w:hAnsi="Segoe UI" w:eastAsia="仿宋_GB2312" w:cs="Segoe UI"/>
          <w:color w:val="auto"/>
          <w:kern w:val="0"/>
          <w:sz w:val="24"/>
          <w:szCs w:val="24"/>
        </w:rPr>
        <w:t>_______________</w:t>
      </w:r>
      <w:r>
        <w:rPr>
          <w:rFonts w:ascii="仿宋_GB2312" w:hAnsi="Segoe UI" w:eastAsia="仿宋_GB2312" w:cs="Segoe UI"/>
          <w:color w:val="auto"/>
          <w:kern w:val="0"/>
          <w:sz w:val="24"/>
          <w:szCs w:val="24"/>
        </w:rPr>
        <w:t>；</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存在管理关系单位为：</w:t>
      </w:r>
      <w:r>
        <w:rPr>
          <w:rFonts w:hint="eastAsia" w:ascii="仿宋_GB2312" w:hAnsi="Segoe UI" w:eastAsia="仿宋_GB2312" w:cs="Segoe UI"/>
          <w:color w:val="auto"/>
          <w:kern w:val="0"/>
          <w:sz w:val="24"/>
          <w:szCs w:val="24"/>
        </w:rPr>
        <w:t>____________________________</w:t>
      </w:r>
      <w:r>
        <w:rPr>
          <w:rFonts w:ascii="仿宋_GB2312" w:hAnsi="Segoe UI" w:eastAsia="仿宋_GB2312" w:cs="Segoe UI"/>
          <w:color w:val="auto"/>
          <w:kern w:val="0"/>
          <w:sz w:val="24"/>
          <w:szCs w:val="24"/>
        </w:rPr>
        <w:t>。</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 xml:space="preserve">供应商名称（单位公章）：                 年    月   日      </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法定代表人/单位负责人或授权代表</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 xml:space="preserve">（签字或加盖个人名章）：        </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 xml:space="preserve"> </w:t>
      </w:r>
    </w:p>
    <w:p>
      <w:pPr>
        <w:widowControl/>
        <w:shd w:val="clear" w:color="auto" w:fill="FFFFFF"/>
        <w:wordWrap w:val="0"/>
        <w:spacing w:line="500" w:lineRule="exact"/>
        <w:ind w:firstLine="480" w:firstLineChars="200"/>
        <w:jc w:val="left"/>
        <w:rPr>
          <w:rFonts w:ascii="仿宋" w:hAnsi="仿宋" w:eastAsia="仿宋"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注：</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1.“负责人”是指单位法定代表人或者法律、行政法规规定代表单位行使职权的主要负责人。</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2.“控股”是指出资额占有限责任公司资本总额百分之五十以上或者其持有的股份占股份有限公司股本总额百分之五十以上的，以及出资额或者持有股份的比例虽然不足百分之五十，但依其出资额或者持有的股份所享有的表决权已足以对股东会、股东大会的决议产生重大影响。</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3.“管理关系”是指与不具有出资持股关系的单位之间存在的其他管理与被管理关系。</w:t>
      </w:r>
    </w:p>
    <w:p>
      <w:pPr>
        <w:widowControl/>
        <w:shd w:val="clear" w:color="auto" w:fill="FFFFFF"/>
        <w:wordWrap w:val="0"/>
        <w:spacing w:line="270" w:lineRule="atLeast"/>
        <w:ind w:firstLine="180" w:firstLineChars="100"/>
        <w:jc w:val="left"/>
        <w:rPr>
          <w:rFonts w:ascii="Segoe UI" w:hAnsi="Segoe UI" w:eastAsia="宋体" w:cs="Segoe UI"/>
          <w:color w:val="auto"/>
          <w:kern w:val="0"/>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324"/>
    <w:rsid w:val="00004787"/>
    <w:rsid w:val="00007B89"/>
    <w:rsid w:val="00007DFD"/>
    <w:rsid w:val="00010103"/>
    <w:rsid w:val="00010B00"/>
    <w:rsid w:val="00015E93"/>
    <w:rsid w:val="00020B77"/>
    <w:rsid w:val="00024D64"/>
    <w:rsid w:val="00043546"/>
    <w:rsid w:val="000438E7"/>
    <w:rsid w:val="00047FEC"/>
    <w:rsid w:val="000706EE"/>
    <w:rsid w:val="000748BC"/>
    <w:rsid w:val="000759CF"/>
    <w:rsid w:val="00080125"/>
    <w:rsid w:val="0008179A"/>
    <w:rsid w:val="0008198E"/>
    <w:rsid w:val="00091DF5"/>
    <w:rsid w:val="00093551"/>
    <w:rsid w:val="000A2E3E"/>
    <w:rsid w:val="000A4E59"/>
    <w:rsid w:val="000B62D3"/>
    <w:rsid w:val="000B7345"/>
    <w:rsid w:val="000C71DD"/>
    <w:rsid w:val="000D3B25"/>
    <w:rsid w:val="000D3D1E"/>
    <w:rsid w:val="000D6D0F"/>
    <w:rsid w:val="000F0AC4"/>
    <w:rsid w:val="00100CCE"/>
    <w:rsid w:val="00100D6D"/>
    <w:rsid w:val="00100EA5"/>
    <w:rsid w:val="00106BE7"/>
    <w:rsid w:val="00111FA2"/>
    <w:rsid w:val="00114337"/>
    <w:rsid w:val="00114C5E"/>
    <w:rsid w:val="00130191"/>
    <w:rsid w:val="00130CF2"/>
    <w:rsid w:val="00130D98"/>
    <w:rsid w:val="00130EE8"/>
    <w:rsid w:val="00132D57"/>
    <w:rsid w:val="00137D36"/>
    <w:rsid w:val="0014780A"/>
    <w:rsid w:val="00147F8C"/>
    <w:rsid w:val="00156A7F"/>
    <w:rsid w:val="00163A7A"/>
    <w:rsid w:val="001660F2"/>
    <w:rsid w:val="00171150"/>
    <w:rsid w:val="00187CD7"/>
    <w:rsid w:val="0019190D"/>
    <w:rsid w:val="00192C67"/>
    <w:rsid w:val="001A0043"/>
    <w:rsid w:val="001A07A7"/>
    <w:rsid w:val="001B33EA"/>
    <w:rsid w:val="001B6821"/>
    <w:rsid w:val="001D3738"/>
    <w:rsid w:val="001D6F6C"/>
    <w:rsid w:val="001D7DD3"/>
    <w:rsid w:val="00205D92"/>
    <w:rsid w:val="002106B2"/>
    <w:rsid w:val="0021079A"/>
    <w:rsid w:val="00222359"/>
    <w:rsid w:val="002272D2"/>
    <w:rsid w:val="00227B3D"/>
    <w:rsid w:val="00233014"/>
    <w:rsid w:val="00236079"/>
    <w:rsid w:val="00236A1E"/>
    <w:rsid w:val="00260ECC"/>
    <w:rsid w:val="00281747"/>
    <w:rsid w:val="002820EB"/>
    <w:rsid w:val="002832F3"/>
    <w:rsid w:val="00287003"/>
    <w:rsid w:val="002B147D"/>
    <w:rsid w:val="002B3FE8"/>
    <w:rsid w:val="002C0C80"/>
    <w:rsid w:val="002C17EC"/>
    <w:rsid w:val="002C5A43"/>
    <w:rsid w:val="002E14C1"/>
    <w:rsid w:val="002E32EC"/>
    <w:rsid w:val="002E55D8"/>
    <w:rsid w:val="002E5CC9"/>
    <w:rsid w:val="002F3367"/>
    <w:rsid w:val="002F6046"/>
    <w:rsid w:val="002F66C5"/>
    <w:rsid w:val="00306264"/>
    <w:rsid w:val="0030789D"/>
    <w:rsid w:val="0031518D"/>
    <w:rsid w:val="00316C04"/>
    <w:rsid w:val="003178E2"/>
    <w:rsid w:val="00317ADE"/>
    <w:rsid w:val="003217D8"/>
    <w:rsid w:val="00322FB8"/>
    <w:rsid w:val="003248E5"/>
    <w:rsid w:val="003320F6"/>
    <w:rsid w:val="00332CD5"/>
    <w:rsid w:val="00335A3B"/>
    <w:rsid w:val="00341E1E"/>
    <w:rsid w:val="00353AE9"/>
    <w:rsid w:val="003636D3"/>
    <w:rsid w:val="00364A1D"/>
    <w:rsid w:val="00371826"/>
    <w:rsid w:val="00375273"/>
    <w:rsid w:val="0037583B"/>
    <w:rsid w:val="003A2C67"/>
    <w:rsid w:val="003B07D3"/>
    <w:rsid w:val="003D2F0C"/>
    <w:rsid w:val="003E3CE4"/>
    <w:rsid w:val="003E5CBB"/>
    <w:rsid w:val="00406809"/>
    <w:rsid w:val="00411A4B"/>
    <w:rsid w:val="0041753A"/>
    <w:rsid w:val="00424DEB"/>
    <w:rsid w:val="00427D8B"/>
    <w:rsid w:val="004408B8"/>
    <w:rsid w:val="00445170"/>
    <w:rsid w:val="004574AD"/>
    <w:rsid w:val="00462076"/>
    <w:rsid w:val="00462F04"/>
    <w:rsid w:val="00463278"/>
    <w:rsid w:val="004661AC"/>
    <w:rsid w:val="00474BA6"/>
    <w:rsid w:val="00481C00"/>
    <w:rsid w:val="00485D78"/>
    <w:rsid w:val="00495C4B"/>
    <w:rsid w:val="004A660C"/>
    <w:rsid w:val="004B302A"/>
    <w:rsid w:val="004B5221"/>
    <w:rsid w:val="004B589A"/>
    <w:rsid w:val="004C1377"/>
    <w:rsid w:val="004D1283"/>
    <w:rsid w:val="004D30B3"/>
    <w:rsid w:val="004D5C8C"/>
    <w:rsid w:val="004D6C13"/>
    <w:rsid w:val="004E1E7A"/>
    <w:rsid w:val="004E3C84"/>
    <w:rsid w:val="004E41EC"/>
    <w:rsid w:val="004E5416"/>
    <w:rsid w:val="004E7E54"/>
    <w:rsid w:val="0050421A"/>
    <w:rsid w:val="00524DBB"/>
    <w:rsid w:val="00527486"/>
    <w:rsid w:val="00531EBF"/>
    <w:rsid w:val="00533482"/>
    <w:rsid w:val="005343ED"/>
    <w:rsid w:val="005445B0"/>
    <w:rsid w:val="00544EB5"/>
    <w:rsid w:val="00553AF3"/>
    <w:rsid w:val="00553C17"/>
    <w:rsid w:val="0055466B"/>
    <w:rsid w:val="00556C8D"/>
    <w:rsid w:val="00561622"/>
    <w:rsid w:val="00565629"/>
    <w:rsid w:val="005736DB"/>
    <w:rsid w:val="005756CC"/>
    <w:rsid w:val="00582624"/>
    <w:rsid w:val="00587330"/>
    <w:rsid w:val="00596141"/>
    <w:rsid w:val="005968B6"/>
    <w:rsid w:val="00597D06"/>
    <w:rsid w:val="005A42FF"/>
    <w:rsid w:val="005A498C"/>
    <w:rsid w:val="005B436F"/>
    <w:rsid w:val="005C2F4C"/>
    <w:rsid w:val="005C6A4D"/>
    <w:rsid w:val="005D0903"/>
    <w:rsid w:val="005D1899"/>
    <w:rsid w:val="005E107D"/>
    <w:rsid w:val="005E2FA9"/>
    <w:rsid w:val="005E7B85"/>
    <w:rsid w:val="005F00D0"/>
    <w:rsid w:val="005F23B2"/>
    <w:rsid w:val="0060180B"/>
    <w:rsid w:val="00603DC4"/>
    <w:rsid w:val="006142F5"/>
    <w:rsid w:val="00615CB8"/>
    <w:rsid w:val="00617A88"/>
    <w:rsid w:val="006205A9"/>
    <w:rsid w:val="00623ECD"/>
    <w:rsid w:val="006329C4"/>
    <w:rsid w:val="006338BD"/>
    <w:rsid w:val="00650E6E"/>
    <w:rsid w:val="00651D12"/>
    <w:rsid w:val="00654439"/>
    <w:rsid w:val="00662F55"/>
    <w:rsid w:val="00692DF4"/>
    <w:rsid w:val="00695255"/>
    <w:rsid w:val="006A02EE"/>
    <w:rsid w:val="006B0075"/>
    <w:rsid w:val="006B4946"/>
    <w:rsid w:val="006B620D"/>
    <w:rsid w:val="006B73BA"/>
    <w:rsid w:val="006C6015"/>
    <w:rsid w:val="006E218B"/>
    <w:rsid w:val="006E362A"/>
    <w:rsid w:val="006E38D3"/>
    <w:rsid w:val="006E7088"/>
    <w:rsid w:val="006F18FD"/>
    <w:rsid w:val="006F4C72"/>
    <w:rsid w:val="007047F2"/>
    <w:rsid w:val="00712570"/>
    <w:rsid w:val="00722134"/>
    <w:rsid w:val="0072583B"/>
    <w:rsid w:val="0073058F"/>
    <w:rsid w:val="00733EC4"/>
    <w:rsid w:val="00735DB0"/>
    <w:rsid w:val="00736E22"/>
    <w:rsid w:val="0074103A"/>
    <w:rsid w:val="00752207"/>
    <w:rsid w:val="00752253"/>
    <w:rsid w:val="00757B8C"/>
    <w:rsid w:val="0076416E"/>
    <w:rsid w:val="00766E01"/>
    <w:rsid w:val="007A288F"/>
    <w:rsid w:val="007A3AC3"/>
    <w:rsid w:val="007B2CD0"/>
    <w:rsid w:val="007B3C7A"/>
    <w:rsid w:val="007B6052"/>
    <w:rsid w:val="007D0E22"/>
    <w:rsid w:val="007E08D0"/>
    <w:rsid w:val="007E3F18"/>
    <w:rsid w:val="007F7ACE"/>
    <w:rsid w:val="007F7F3A"/>
    <w:rsid w:val="008031F3"/>
    <w:rsid w:val="00814E67"/>
    <w:rsid w:val="00826368"/>
    <w:rsid w:val="00831586"/>
    <w:rsid w:val="008364F8"/>
    <w:rsid w:val="008417D7"/>
    <w:rsid w:val="00853D43"/>
    <w:rsid w:val="008721C4"/>
    <w:rsid w:val="00881863"/>
    <w:rsid w:val="00890C5B"/>
    <w:rsid w:val="008A4AEC"/>
    <w:rsid w:val="008A67BE"/>
    <w:rsid w:val="008B3302"/>
    <w:rsid w:val="008B6D77"/>
    <w:rsid w:val="008C5DFC"/>
    <w:rsid w:val="008C6316"/>
    <w:rsid w:val="008D2974"/>
    <w:rsid w:val="008D5F86"/>
    <w:rsid w:val="008E01EC"/>
    <w:rsid w:val="008E253C"/>
    <w:rsid w:val="008E367A"/>
    <w:rsid w:val="008E7507"/>
    <w:rsid w:val="00904265"/>
    <w:rsid w:val="00911C32"/>
    <w:rsid w:val="009162F2"/>
    <w:rsid w:val="009222DC"/>
    <w:rsid w:val="009313F7"/>
    <w:rsid w:val="00944D3E"/>
    <w:rsid w:val="00952948"/>
    <w:rsid w:val="00957FE2"/>
    <w:rsid w:val="00960600"/>
    <w:rsid w:val="00970F1E"/>
    <w:rsid w:val="00973CDF"/>
    <w:rsid w:val="00975C5D"/>
    <w:rsid w:val="00980588"/>
    <w:rsid w:val="00991324"/>
    <w:rsid w:val="00992F19"/>
    <w:rsid w:val="00993EAB"/>
    <w:rsid w:val="0099558B"/>
    <w:rsid w:val="009A1565"/>
    <w:rsid w:val="009A546E"/>
    <w:rsid w:val="009A7628"/>
    <w:rsid w:val="009B20EB"/>
    <w:rsid w:val="009B61B5"/>
    <w:rsid w:val="009C7EC9"/>
    <w:rsid w:val="009D344B"/>
    <w:rsid w:val="009E4ACB"/>
    <w:rsid w:val="009E66B7"/>
    <w:rsid w:val="009F38F3"/>
    <w:rsid w:val="009F508A"/>
    <w:rsid w:val="00A01F56"/>
    <w:rsid w:val="00A077B1"/>
    <w:rsid w:val="00A1064C"/>
    <w:rsid w:val="00A157D2"/>
    <w:rsid w:val="00A27A71"/>
    <w:rsid w:val="00A42003"/>
    <w:rsid w:val="00A509AB"/>
    <w:rsid w:val="00A551ED"/>
    <w:rsid w:val="00A56FED"/>
    <w:rsid w:val="00A57D69"/>
    <w:rsid w:val="00A71C47"/>
    <w:rsid w:val="00A730D5"/>
    <w:rsid w:val="00A75584"/>
    <w:rsid w:val="00A75FD0"/>
    <w:rsid w:val="00A86DB1"/>
    <w:rsid w:val="00A90E3D"/>
    <w:rsid w:val="00A9223E"/>
    <w:rsid w:val="00A97427"/>
    <w:rsid w:val="00AA4BD9"/>
    <w:rsid w:val="00AB3127"/>
    <w:rsid w:val="00AB6CBD"/>
    <w:rsid w:val="00AC4206"/>
    <w:rsid w:val="00AC4BFD"/>
    <w:rsid w:val="00AD0D2B"/>
    <w:rsid w:val="00AD6B6A"/>
    <w:rsid w:val="00AD7D84"/>
    <w:rsid w:val="00AE14A6"/>
    <w:rsid w:val="00AE2403"/>
    <w:rsid w:val="00AF1410"/>
    <w:rsid w:val="00AF1626"/>
    <w:rsid w:val="00AF2B15"/>
    <w:rsid w:val="00B003FD"/>
    <w:rsid w:val="00B104CF"/>
    <w:rsid w:val="00B1151E"/>
    <w:rsid w:val="00B14A60"/>
    <w:rsid w:val="00B155B7"/>
    <w:rsid w:val="00B20822"/>
    <w:rsid w:val="00B22A4C"/>
    <w:rsid w:val="00B230BB"/>
    <w:rsid w:val="00B272BD"/>
    <w:rsid w:val="00B36544"/>
    <w:rsid w:val="00B40677"/>
    <w:rsid w:val="00B44BDE"/>
    <w:rsid w:val="00B45269"/>
    <w:rsid w:val="00B521F0"/>
    <w:rsid w:val="00B54AAD"/>
    <w:rsid w:val="00B63F70"/>
    <w:rsid w:val="00B70C15"/>
    <w:rsid w:val="00B71C0F"/>
    <w:rsid w:val="00B72D6B"/>
    <w:rsid w:val="00B741D5"/>
    <w:rsid w:val="00B77E7C"/>
    <w:rsid w:val="00B809DB"/>
    <w:rsid w:val="00B87B99"/>
    <w:rsid w:val="00B97955"/>
    <w:rsid w:val="00B97FD5"/>
    <w:rsid w:val="00BA1130"/>
    <w:rsid w:val="00BA3326"/>
    <w:rsid w:val="00BA6B91"/>
    <w:rsid w:val="00BB0352"/>
    <w:rsid w:val="00BB1E8E"/>
    <w:rsid w:val="00BC071B"/>
    <w:rsid w:val="00BC6B17"/>
    <w:rsid w:val="00BC7E84"/>
    <w:rsid w:val="00BD277A"/>
    <w:rsid w:val="00BE1EEA"/>
    <w:rsid w:val="00BE3C7E"/>
    <w:rsid w:val="00BE3F17"/>
    <w:rsid w:val="00BE7321"/>
    <w:rsid w:val="00BF0552"/>
    <w:rsid w:val="00BF45A6"/>
    <w:rsid w:val="00BF78CD"/>
    <w:rsid w:val="00C01967"/>
    <w:rsid w:val="00C039A5"/>
    <w:rsid w:val="00C1492E"/>
    <w:rsid w:val="00C16B55"/>
    <w:rsid w:val="00C234A0"/>
    <w:rsid w:val="00C300D9"/>
    <w:rsid w:val="00C359F2"/>
    <w:rsid w:val="00C4128A"/>
    <w:rsid w:val="00C416A9"/>
    <w:rsid w:val="00C4640A"/>
    <w:rsid w:val="00C53371"/>
    <w:rsid w:val="00C557C1"/>
    <w:rsid w:val="00C609E3"/>
    <w:rsid w:val="00C61584"/>
    <w:rsid w:val="00C67A8B"/>
    <w:rsid w:val="00C72BD9"/>
    <w:rsid w:val="00C749CC"/>
    <w:rsid w:val="00C757D7"/>
    <w:rsid w:val="00C75A6E"/>
    <w:rsid w:val="00C85E3F"/>
    <w:rsid w:val="00C86F82"/>
    <w:rsid w:val="00C96BCE"/>
    <w:rsid w:val="00CB4E79"/>
    <w:rsid w:val="00CB5106"/>
    <w:rsid w:val="00CB70F9"/>
    <w:rsid w:val="00CB7339"/>
    <w:rsid w:val="00CC2EF3"/>
    <w:rsid w:val="00CC46E6"/>
    <w:rsid w:val="00CD032B"/>
    <w:rsid w:val="00CD0AEF"/>
    <w:rsid w:val="00CD38C5"/>
    <w:rsid w:val="00CD43A3"/>
    <w:rsid w:val="00CE3709"/>
    <w:rsid w:val="00CE5869"/>
    <w:rsid w:val="00CF1903"/>
    <w:rsid w:val="00CF687F"/>
    <w:rsid w:val="00D02D32"/>
    <w:rsid w:val="00D17B6A"/>
    <w:rsid w:val="00D207AA"/>
    <w:rsid w:val="00D24B89"/>
    <w:rsid w:val="00D253C1"/>
    <w:rsid w:val="00D2792B"/>
    <w:rsid w:val="00D32ED6"/>
    <w:rsid w:val="00D33BA8"/>
    <w:rsid w:val="00D4455D"/>
    <w:rsid w:val="00D51CFD"/>
    <w:rsid w:val="00D52E38"/>
    <w:rsid w:val="00D540FF"/>
    <w:rsid w:val="00D54398"/>
    <w:rsid w:val="00D83AB1"/>
    <w:rsid w:val="00D94DD0"/>
    <w:rsid w:val="00DA221A"/>
    <w:rsid w:val="00DC521C"/>
    <w:rsid w:val="00DD1196"/>
    <w:rsid w:val="00DF0727"/>
    <w:rsid w:val="00DF23C8"/>
    <w:rsid w:val="00E043CA"/>
    <w:rsid w:val="00E110C5"/>
    <w:rsid w:val="00E17B68"/>
    <w:rsid w:val="00E24504"/>
    <w:rsid w:val="00E266A9"/>
    <w:rsid w:val="00E271F6"/>
    <w:rsid w:val="00E3025E"/>
    <w:rsid w:val="00E3692B"/>
    <w:rsid w:val="00E4103F"/>
    <w:rsid w:val="00E433C0"/>
    <w:rsid w:val="00E4757B"/>
    <w:rsid w:val="00E53C4C"/>
    <w:rsid w:val="00E57F42"/>
    <w:rsid w:val="00E61E0A"/>
    <w:rsid w:val="00E6350C"/>
    <w:rsid w:val="00E8491A"/>
    <w:rsid w:val="00E86BED"/>
    <w:rsid w:val="00E94D80"/>
    <w:rsid w:val="00E96BE6"/>
    <w:rsid w:val="00EA36AB"/>
    <w:rsid w:val="00EA370B"/>
    <w:rsid w:val="00EA54CC"/>
    <w:rsid w:val="00EB13CE"/>
    <w:rsid w:val="00EB3DF6"/>
    <w:rsid w:val="00EC180F"/>
    <w:rsid w:val="00EC2E6F"/>
    <w:rsid w:val="00EC3712"/>
    <w:rsid w:val="00ED090C"/>
    <w:rsid w:val="00ED10E3"/>
    <w:rsid w:val="00EF4D97"/>
    <w:rsid w:val="00F01BA1"/>
    <w:rsid w:val="00F0472A"/>
    <w:rsid w:val="00F0586B"/>
    <w:rsid w:val="00F14C35"/>
    <w:rsid w:val="00F17FD2"/>
    <w:rsid w:val="00F20659"/>
    <w:rsid w:val="00F26E10"/>
    <w:rsid w:val="00F36045"/>
    <w:rsid w:val="00F37C8C"/>
    <w:rsid w:val="00F43F43"/>
    <w:rsid w:val="00F536DF"/>
    <w:rsid w:val="00F60FE9"/>
    <w:rsid w:val="00F70970"/>
    <w:rsid w:val="00F721B2"/>
    <w:rsid w:val="00F7458F"/>
    <w:rsid w:val="00F76ECB"/>
    <w:rsid w:val="00F77022"/>
    <w:rsid w:val="00F90984"/>
    <w:rsid w:val="00F9258E"/>
    <w:rsid w:val="00F92663"/>
    <w:rsid w:val="00F9486E"/>
    <w:rsid w:val="00F94B87"/>
    <w:rsid w:val="00F95593"/>
    <w:rsid w:val="00F95B57"/>
    <w:rsid w:val="00F961D6"/>
    <w:rsid w:val="00FB38B7"/>
    <w:rsid w:val="00FC5D1F"/>
    <w:rsid w:val="00FD1F4A"/>
    <w:rsid w:val="00FD69D5"/>
    <w:rsid w:val="00FE1C69"/>
    <w:rsid w:val="00FE41A6"/>
    <w:rsid w:val="00FF37D5"/>
    <w:rsid w:val="00FF725A"/>
    <w:rsid w:val="00FF7EF9"/>
    <w:rsid w:val="0809162A"/>
    <w:rsid w:val="08552EB3"/>
    <w:rsid w:val="09883DB3"/>
    <w:rsid w:val="0B7702C0"/>
    <w:rsid w:val="0B890D43"/>
    <w:rsid w:val="0C0A0390"/>
    <w:rsid w:val="0C69586C"/>
    <w:rsid w:val="0EB033E5"/>
    <w:rsid w:val="15B626DC"/>
    <w:rsid w:val="17E0197B"/>
    <w:rsid w:val="18472232"/>
    <w:rsid w:val="18B93B85"/>
    <w:rsid w:val="1A707F41"/>
    <w:rsid w:val="1DE05766"/>
    <w:rsid w:val="1E997E27"/>
    <w:rsid w:val="1F19224C"/>
    <w:rsid w:val="22827069"/>
    <w:rsid w:val="22F464E8"/>
    <w:rsid w:val="25933A00"/>
    <w:rsid w:val="275B43E3"/>
    <w:rsid w:val="2B742A3A"/>
    <w:rsid w:val="31336B9D"/>
    <w:rsid w:val="31FB7325"/>
    <w:rsid w:val="3459137F"/>
    <w:rsid w:val="351D2E6B"/>
    <w:rsid w:val="35E40AE0"/>
    <w:rsid w:val="368F2498"/>
    <w:rsid w:val="375C3E0F"/>
    <w:rsid w:val="395149AF"/>
    <w:rsid w:val="39CE1F6A"/>
    <w:rsid w:val="3DA970F6"/>
    <w:rsid w:val="3DE462AE"/>
    <w:rsid w:val="45FE0BC5"/>
    <w:rsid w:val="47A53522"/>
    <w:rsid w:val="49A664ED"/>
    <w:rsid w:val="4B671727"/>
    <w:rsid w:val="4C76008D"/>
    <w:rsid w:val="4F954CC0"/>
    <w:rsid w:val="59213BB4"/>
    <w:rsid w:val="5B1829CF"/>
    <w:rsid w:val="5F381B5D"/>
    <w:rsid w:val="60021495"/>
    <w:rsid w:val="622F0396"/>
    <w:rsid w:val="63D266D5"/>
    <w:rsid w:val="6CA02C6A"/>
    <w:rsid w:val="700B2FC9"/>
    <w:rsid w:val="734A410E"/>
    <w:rsid w:val="76451E51"/>
    <w:rsid w:val="77CF5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qFormat="1" w:unhideWhenUsed="0" w:uiPriority="0" w:semiHidden="0"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8"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toc 7"/>
    <w:basedOn w:val="1"/>
    <w:next w:val="1"/>
    <w:qFormat/>
    <w:uiPriority w:val="0"/>
    <w:pPr>
      <w:ind w:left="1200"/>
    </w:pPr>
    <w:rPr>
      <w:rFonts w:ascii="Calibri"/>
    </w:rPr>
  </w:style>
  <w:style w:type="paragraph" w:styleId="4">
    <w:name w:val="Body Text"/>
    <w:basedOn w:val="1"/>
    <w:next w:val="1"/>
    <w:link w:val="17"/>
    <w:unhideWhenUsed/>
    <w:qFormat/>
    <w:uiPriority w:val="99"/>
    <w:pPr>
      <w:spacing w:after="120"/>
    </w:pPr>
    <w:rPr>
      <w:szCs w:val="24"/>
    </w:rPr>
  </w:style>
  <w:style w:type="paragraph" w:styleId="5">
    <w:name w:val="Plain Text"/>
    <w:basedOn w:val="1"/>
    <w:qFormat/>
    <w:uiPriority w:val="0"/>
    <w:rPr>
      <w:rFonts w:ascii="宋体" w:hAnsi="Courier New" w:eastAsia="宋体" w:cs="Courier New"/>
      <w:szCs w:val="21"/>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Title"/>
    <w:basedOn w:val="1"/>
    <w:next w:val="1"/>
    <w:qFormat/>
    <w:uiPriority w:val="98"/>
    <w:pPr>
      <w:spacing w:before="240" w:after="60"/>
      <w:jc w:val="center"/>
      <w:outlineLvl w:val="0"/>
    </w:pPr>
    <w:rPr>
      <w:rFonts w:ascii="等线 Light" w:hAnsi="等线 Light"/>
      <w:b/>
      <w:bCs/>
      <w:sz w:val="32"/>
      <w:szCs w:val="32"/>
    </w:rPr>
  </w:style>
  <w:style w:type="table" w:styleId="11">
    <w:name w:val="Table Grid"/>
    <w:basedOn w:val="10"/>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13">
    <w:name w:val="Default"/>
    <w:basedOn w:val="9"/>
    <w:next w:val="2"/>
    <w:qFormat/>
    <w:uiPriority w:val="99"/>
    <w:pPr>
      <w:autoSpaceDE w:val="0"/>
      <w:autoSpaceDN w:val="0"/>
      <w:adjustRightInd w:val="0"/>
    </w:pPr>
    <w:rPr>
      <w:rFonts w:ascii="宋体" w:hAnsi="Times New Roman" w:cs="宋体"/>
      <w:color w:val="000000"/>
      <w:sz w:val="24"/>
      <w:szCs w:val="24"/>
    </w:rPr>
  </w:style>
  <w:style w:type="character" w:customStyle="1" w:styleId="14">
    <w:name w:val="页眉 字符"/>
    <w:basedOn w:val="12"/>
    <w:link w:val="7"/>
    <w:qFormat/>
    <w:uiPriority w:val="99"/>
    <w:rPr>
      <w:sz w:val="18"/>
      <w:szCs w:val="18"/>
    </w:rPr>
  </w:style>
  <w:style w:type="character" w:customStyle="1" w:styleId="15">
    <w:name w:val="页脚 字符"/>
    <w:basedOn w:val="12"/>
    <w:link w:val="6"/>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正文文本 字符"/>
    <w:basedOn w:val="12"/>
    <w:link w:val="4"/>
    <w:qFormat/>
    <w:uiPriority w:val="99"/>
    <w:rPr>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827CF3-7B76-4207-88B5-03CD2CF70481}">
  <ds:schemaRefs/>
</ds:datastoreItem>
</file>

<file path=docProps/app.xml><?xml version="1.0" encoding="utf-8"?>
<Properties xmlns="http://schemas.openxmlformats.org/officeDocument/2006/extended-properties" xmlns:vt="http://schemas.openxmlformats.org/officeDocument/2006/docPropsVTypes">
  <Template>Normal</Template>
  <Pages>12</Pages>
  <Words>3571</Words>
  <Characters>3808</Characters>
  <Lines>58</Lines>
  <Paragraphs>16</Paragraphs>
  <TotalTime>18</TotalTime>
  <ScaleCrop>false</ScaleCrop>
  <LinksUpToDate>false</LinksUpToDate>
  <CharactersWithSpaces>3869</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2021-07-27T08:46:00Z</dcterms:created>
  <dc:creator>a</dc:creator>
  <cp:lastModifiedBy>杨燕</cp:lastModifiedBy>
  <cp:lastPrinted>2024-05-30T00:54:00Z</cp:lastPrinted>
  <dcterms:modified xsi:type="dcterms:W3CDTF">2025-02-27T01:24:12Z</dcterms:modified>
  <cp:revision>223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06887F346064436283D2F9769A26DFB5_13</vt:lpwstr>
  </property>
  <property fmtid="{D5CDD505-2E9C-101B-9397-08002B2CF9AE}" pid="4" name="KSOTemplateDocerSaveRecord">
    <vt:lpwstr>eyJoZGlkIjoiNzZiMTRhYzQ5NzUzZjJmNGVkNzRmYmRlNjYxMjM0NzgiLCJ1c2VySWQiOiI3NjYyOTE4MjQifQ==</vt:lpwstr>
  </property>
</Properties>
</file>