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2B82">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14:paraId="5E4C01A4">
      <w:pPr>
        <w:spacing w:line="360" w:lineRule="exact"/>
        <w:jc w:val="left"/>
        <w:rPr>
          <w:b/>
          <w:bCs/>
          <w:color w:val="auto"/>
        </w:rPr>
      </w:pPr>
      <w:r>
        <w:rPr>
          <w:rFonts w:hint="eastAsia"/>
          <w:b/>
          <w:bCs/>
          <w:color w:val="auto"/>
        </w:rPr>
        <w:t>一、采购标的：</w:t>
      </w:r>
    </w:p>
    <w:p w14:paraId="4C45EAED">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14:paraId="63EE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14:paraId="1EC389F9">
            <w:pPr>
              <w:spacing w:line="360" w:lineRule="exact"/>
              <w:jc w:val="center"/>
              <w:rPr>
                <w:rFonts w:ascii="宋体" w:hAnsi="宋体"/>
                <w:bCs/>
                <w:color w:val="auto"/>
              </w:rPr>
            </w:pPr>
            <w:r>
              <w:rPr>
                <w:rFonts w:hint="eastAsia" w:ascii="宋体" w:hAnsi="宋体"/>
                <w:bCs/>
                <w:color w:val="auto"/>
              </w:rPr>
              <w:t>序号</w:t>
            </w:r>
          </w:p>
        </w:tc>
        <w:tc>
          <w:tcPr>
            <w:tcW w:w="2109" w:type="pct"/>
            <w:vAlign w:val="center"/>
          </w:tcPr>
          <w:p w14:paraId="695DBDA8">
            <w:pPr>
              <w:spacing w:line="360" w:lineRule="exact"/>
              <w:jc w:val="center"/>
              <w:rPr>
                <w:rFonts w:ascii="宋体" w:hAnsi="宋体"/>
                <w:bCs/>
                <w:color w:val="auto"/>
              </w:rPr>
            </w:pPr>
            <w:r>
              <w:rPr>
                <w:rFonts w:hint="eastAsia" w:ascii="宋体" w:hAnsi="宋体" w:cs="宋体"/>
                <w:bCs/>
                <w:color w:val="auto"/>
              </w:rPr>
              <w:t>产品名称</w:t>
            </w:r>
          </w:p>
        </w:tc>
        <w:tc>
          <w:tcPr>
            <w:tcW w:w="1003" w:type="pct"/>
            <w:vAlign w:val="center"/>
          </w:tcPr>
          <w:p w14:paraId="2F033DA9">
            <w:pPr>
              <w:spacing w:line="360" w:lineRule="exact"/>
              <w:jc w:val="center"/>
              <w:rPr>
                <w:rFonts w:ascii="宋体" w:hAnsi="宋体"/>
                <w:bCs/>
                <w:color w:val="auto"/>
              </w:rPr>
            </w:pPr>
            <w:r>
              <w:rPr>
                <w:rFonts w:hint="eastAsia" w:ascii="宋体" w:hAnsi="宋体" w:cs="宋体"/>
                <w:bCs/>
                <w:color w:val="auto"/>
              </w:rPr>
              <w:t>数量</w:t>
            </w:r>
          </w:p>
        </w:tc>
        <w:tc>
          <w:tcPr>
            <w:tcW w:w="1233" w:type="pct"/>
            <w:vAlign w:val="center"/>
          </w:tcPr>
          <w:p w14:paraId="1C22562D">
            <w:pPr>
              <w:spacing w:line="360" w:lineRule="exact"/>
              <w:jc w:val="center"/>
              <w:rPr>
                <w:rFonts w:ascii="宋体" w:hAnsi="宋体" w:cs="宋体"/>
                <w:bCs/>
                <w:color w:val="auto"/>
              </w:rPr>
            </w:pPr>
            <w:r>
              <w:rPr>
                <w:rFonts w:hint="eastAsia" w:ascii="宋体" w:hAnsi="宋体" w:cs="宋体"/>
                <w:bCs/>
                <w:color w:val="auto"/>
              </w:rPr>
              <w:t>最高限价</w:t>
            </w:r>
          </w:p>
          <w:p w14:paraId="5A18FDB9">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14:paraId="5B17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14:paraId="0F17C3C3">
            <w:pPr>
              <w:spacing w:line="420" w:lineRule="exact"/>
              <w:jc w:val="center"/>
              <w:rPr>
                <w:rFonts w:hint="eastAsia" w:ascii="宋体" w:hAnsi="宋体" w:eastAsiaTheme="minorEastAsia"/>
                <w:color w:val="auto"/>
                <w:lang w:eastAsia="zh-CN"/>
              </w:rPr>
            </w:pPr>
            <w:r>
              <w:rPr>
                <w:rFonts w:hint="eastAsia" w:ascii="宋体" w:hAnsi="宋体"/>
                <w:color w:val="auto"/>
                <w:lang w:val="en-US" w:eastAsia="zh-CN"/>
              </w:rPr>
              <w:t>1</w:t>
            </w:r>
          </w:p>
        </w:tc>
        <w:tc>
          <w:tcPr>
            <w:tcW w:w="2109" w:type="pct"/>
            <w:vAlign w:val="center"/>
          </w:tcPr>
          <w:p w14:paraId="3EA73313">
            <w:pPr>
              <w:spacing w:line="340" w:lineRule="exact"/>
              <w:jc w:val="center"/>
              <w:rPr>
                <w:rFonts w:hint="default" w:ascii="宋体" w:hAnsi="Times New Roman" w:eastAsia="宋体" w:cs="Times New Roman"/>
                <w:color w:val="auto"/>
                <w:lang w:val="en-US"/>
              </w:rPr>
            </w:pPr>
            <w:r>
              <w:rPr>
                <w:rFonts w:hint="eastAsia" w:ascii="宋体" w:hAnsi="宋体" w:eastAsia="宋体" w:cs="Times New Roman"/>
                <w:color w:val="auto"/>
                <w:lang w:val="en-US" w:eastAsia="zh-CN"/>
              </w:rPr>
              <w:t>有创呼吸机</w:t>
            </w:r>
          </w:p>
        </w:tc>
        <w:tc>
          <w:tcPr>
            <w:tcW w:w="1003" w:type="pct"/>
            <w:vAlign w:val="center"/>
          </w:tcPr>
          <w:p w14:paraId="043D0651">
            <w:pPr>
              <w:spacing w:line="36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1台</w:t>
            </w:r>
          </w:p>
        </w:tc>
        <w:tc>
          <w:tcPr>
            <w:tcW w:w="1233" w:type="pct"/>
            <w:vAlign w:val="center"/>
          </w:tcPr>
          <w:p w14:paraId="3120ABBE">
            <w:pPr>
              <w:spacing w:line="42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23</w:t>
            </w:r>
          </w:p>
        </w:tc>
      </w:tr>
    </w:tbl>
    <w:p w14:paraId="44900095">
      <w:pPr>
        <w:pStyle w:val="13"/>
        <w:rPr>
          <w:color w:val="auto"/>
        </w:rPr>
      </w:pPr>
    </w:p>
    <w:p w14:paraId="4BBFD361">
      <w:pPr>
        <w:spacing w:line="360" w:lineRule="exact"/>
        <w:jc w:val="left"/>
        <w:rPr>
          <w:b/>
          <w:bCs/>
          <w:color w:val="auto"/>
        </w:rPr>
      </w:pPr>
      <w:r>
        <w:rPr>
          <w:rFonts w:hint="eastAsia"/>
          <w:b/>
          <w:bCs/>
          <w:color w:val="auto"/>
        </w:rPr>
        <w:t>二、技术要求：</w:t>
      </w:r>
    </w:p>
    <w:p w14:paraId="73129680">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14:paraId="00DA22F9">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▲电动电控涡轮驱动供气呼吸机，主机和屏幕一体化设计（</w:t>
      </w:r>
      <w:r>
        <w:rPr>
          <w:rFonts w:hint="eastAsia" w:ascii="宋体" w:hAnsi="宋体" w:eastAsia="宋体" w:cs="宋体"/>
          <w:color w:val="auto"/>
          <w:kern w:val="0"/>
          <w:lang w:val="en-US" w:eastAsia="zh-CN"/>
        </w:rPr>
        <w:t>非分体式</w:t>
      </w:r>
      <w:r>
        <w:rPr>
          <w:rFonts w:hint="eastAsia" w:ascii="宋体" w:hAnsi="宋体" w:eastAsia="宋体" w:cs="宋体"/>
          <w:color w:val="auto"/>
          <w:kern w:val="0"/>
          <w:lang w:eastAsia="zh-CN"/>
        </w:rPr>
        <w:t>），适用于成人、小儿、婴幼儿病人类型。</w:t>
      </w:r>
    </w:p>
    <w:p w14:paraId="4BCC49EF">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12英寸彩色液晶全触摸屏，分辨率≥1280×800，中文界面。</w:t>
      </w:r>
    </w:p>
    <w:p w14:paraId="0C3135A8">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eastAsia="zh-CN"/>
        </w:rPr>
        <w:t>支持屏幕同屏显示≥4道波形，波形的颜色可调；≥3种环图，支持波形、环图、监测值同屏显示；支持全参数显示界面和大字体界面；呼吸波形及环图可冻结，呼吸环图可存储、对比。</w:t>
      </w:r>
    </w:p>
    <w:p w14:paraId="21465064">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eastAsia="zh-CN"/>
        </w:rPr>
        <w:t>▲主机（包括屏幕）</w:t>
      </w:r>
      <w:r>
        <w:rPr>
          <w:rFonts w:hint="eastAsia" w:ascii="宋体" w:hAnsi="宋体" w:eastAsia="宋体" w:cs="宋体"/>
          <w:color w:val="auto"/>
          <w:kern w:val="0"/>
          <w:lang w:eastAsia="zh-CN"/>
        </w:rPr>
        <w:t>重量≤11kg，</w:t>
      </w:r>
      <w:r>
        <w:rPr>
          <w:rFonts w:hint="eastAsia" w:ascii="宋体" w:hAnsi="宋体" w:eastAsia="宋体" w:cs="宋体"/>
          <w:color w:val="auto"/>
          <w:kern w:val="0"/>
          <w:lang w:val="en-US" w:eastAsia="zh-CN"/>
        </w:rPr>
        <w:t>主机具有</w:t>
      </w:r>
      <w:r>
        <w:rPr>
          <w:rFonts w:hint="eastAsia" w:ascii="宋体" w:hAnsi="宋体" w:eastAsia="宋体" w:cs="宋体"/>
          <w:color w:val="auto"/>
          <w:kern w:val="0"/>
          <w:lang w:eastAsia="zh-CN"/>
        </w:rPr>
        <w:t>固定的立式把手（非活动式，不可移动），</w:t>
      </w:r>
      <w:r>
        <w:rPr>
          <w:rFonts w:hint="eastAsia" w:ascii="宋体" w:hAnsi="宋体" w:eastAsia="宋体" w:cs="宋体"/>
          <w:color w:val="auto"/>
          <w:kern w:val="0"/>
          <w:lang w:eastAsia="zh-CN"/>
        </w:rPr>
        <w:t>可从台车一键拆卸，</w:t>
      </w:r>
      <w:r>
        <w:rPr>
          <w:rFonts w:hint="eastAsia" w:ascii="宋体" w:hAnsi="宋体" w:eastAsia="宋体" w:cs="宋体"/>
          <w:color w:val="auto"/>
          <w:kern w:val="0"/>
          <w:lang w:val="en-US" w:eastAsia="zh-CN"/>
        </w:rPr>
        <w:t>台车可承载氧气钢瓶，方便转运</w:t>
      </w:r>
      <w:r>
        <w:rPr>
          <w:rFonts w:hint="eastAsia" w:ascii="宋体" w:hAnsi="宋体" w:eastAsia="宋体" w:cs="宋体"/>
          <w:color w:val="auto"/>
          <w:kern w:val="0"/>
          <w:lang w:eastAsia="zh-CN"/>
        </w:rPr>
        <w:t>。</w:t>
      </w:r>
    </w:p>
    <w:p w14:paraId="30EFEB30">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5.</w:t>
      </w:r>
      <w:r>
        <w:rPr>
          <w:rFonts w:hint="eastAsia" w:ascii="宋体" w:hAnsi="宋体" w:eastAsia="宋体" w:cs="宋体"/>
          <w:color w:val="auto"/>
          <w:kern w:val="0"/>
          <w:lang w:eastAsia="zh-CN"/>
        </w:rPr>
        <w:t>提供高压氧气气源和低压氧气气源两种方式。</w:t>
      </w:r>
    </w:p>
    <w:p w14:paraId="4FDDDD75">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6.</w:t>
      </w:r>
      <w:r>
        <w:rPr>
          <w:rFonts w:hint="eastAsia" w:ascii="宋体" w:hAnsi="宋体" w:eastAsia="宋体" w:cs="宋体"/>
          <w:color w:val="auto"/>
          <w:kern w:val="0"/>
          <w:lang w:eastAsia="zh-CN"/>
        </w:rPr>
        <w:t>支持升级12V直流电供电接口。</w:t>
      </w:r>
    </w:p>
    <w:p w14:paraId="6C43655B">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7.</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具备</w:t>
      </w:r>
      <w:r>
        <w:rPr>
          <w:rFonts w:hint="eastAsia" w:ascii="宋体" w:hAnsi="宋体" w:eastAsia="宋体" w:cs="宋体"/>
          <w:color w:val="auto"/>
          <w:kern w:val="0"/>
          <w:lang w:eastAsia="zh-CN"/>
        </w:rPr>
        <w:t>通气模式包括：容量控制通气下的辅助控制通气A/C和同步间歇指令通气SIMV、压力控制通气下的辅助控制通气A/C和同步间歇指令通气SIMV、持续气道正压通气和压力支持CPAP/PSV、双水平气道正压通气（如BIPAP或DuoLevel或BiLevel）、压力调节容量控制通气PRVC及其压力调节容量控制同步间歇指令通气PRVC</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SIMV、自适应支持通气（</w:t>
      </w:r>
      <w:r>
        <w:rPr>
          <w:rFonts w:hint="eastAsia" w:ascii="宋体" w:hAnsi="宋体" w:eastAsia="宋体" w:cs="宋体"/>
          <w:color w:val="auto"/>
          <w:kern w:val="0"/>
          <w:lang w:val="en-US" w:eastAsia="zh-CN"/>
        </w:rPr>
        <w:t>如AMV或ASV</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无创通气模式以及</w:t>
      </w:r>
      <w:r>
        <w:rPr>
          <w:rFonts w:hint="eastAsia" w:ascii="宋体" w:hAnsi="宋体" w:eastAsia="宋体" w:cs="宋体"/>
          <w:color w:val="auto"/>
          <w:kern w:val="0"/>
          <w:lang w:eastAsia="zh-CN"/>
        </w:rPr>
        <w:t>氧疗</w:t>
      </w:r>
      <w:r>
        <w:rPr>
          <w:rFonts w:hint="eastAsia" w:ascii="宋体" w:hAnsi="宋体" w:eastAsia="宋体" w:cs="宋体"/>
          <w:color w:val="auto"/>
          <w:kern w:val="0"/>
          <w:lang w:val="en-US" w:eastAsia="zh-CN"/>
        </w:rPr>
        <w:t>模式，其中</w:t>
      </w:r>
      <w:r>
        <w:rPr>
          <w:rFonts w:hint="eastAsia" w:ascii="宋体" w:hAnsi="宋体" w:eastAsia="宋体" w:cs="宋体"/>
          <w:color w:val="auto"/>
          <w:kern w:val="0"/>
          <w:lang w:eastAsia="zh-CN"/>
        </w:rPr>
        <w:t>氧疗模式流速≥80L/min。</w:t>
      </w:r>
    </w:p>
    <w:p w14:paraId="4942E99E">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r>
        <w:rPr>
          <w:rFonts w:hint="eastAsia" w:ascii="宋体" w:hAnsi="宋体" w:eastAsia="宋体" w:cs="宋体"/>
          <w:color w:val="auto"/>
          <w:kern w:val="0"/>
          <w:lang w:eastAsia="zh-CN"/>
        </w:rPr>
        <w:t>▲容量模式流速波形可调方波、50%和100%递减波。</w:t>
      </w:r>
    </w:p>
    <w:p w14:paraId="5E9976F6">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9.</w:t>
      </w:r>
      <w:r>
        <w:rPr>
          <w:rFonts w:hint="eastAsia" w:ascii="宋体" w:hAnsi="宋体" w:eastAsia="宋体" w:cs="宋体"/>
          <w:color w:val="auto"/>
          <w:kern w:val="0"/>
          <w:lang w:eastAsia="zh-CN"/>
        </w:rPr>
        <w:t>▲支持升级心肺复苏通气模式（如CPRV、CPR mode等）、压力释放通气APRV。</w:t>
      </w:r>
    </w:p>
    <w:p w14:paraId="229D1BF5">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10.</w:t>
      </w:r>
      <w:r>
        <w:rPr>
          <w:rFonts w:hint="eastAsia" w:ascii="宋体" w:hAnsi="宋体" w:eastAsia="宋体" w:cs="宋体"/>
          <w:color w:val="auto"/>
          <w:kern w:val="0"/>
          <w:lang w:eastAsia="zh-CN"/>
        </w:rPr>
        <w:t>具备无创通气模式，包含P-A/C、P-SIMV、CPAP/PSV、DuoLevel和 PSV-S/T等模式。</w:t>
      </w:r>
    </w:p>
    <w:p w14:paraId="4C4033E7">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11.</w:t>
      </w:r>
      <w:r>
        <w:rPr>
          <w:rFonts w:hint="eastAsia" w:ascii="宋体" w:hAnsi="宋体" w:eastAsia="宋体" w:cs="宋体"/>
          <w:color w:val="auto"/>
          <w:kern w:val="0"/>
          <w:lang w:eastAsia="zh-CN"/>
        </w:rPr>
        <w:t>▲标配高流量氧疗，最大氧流速：80L/min，最大氧浓度：100%。</w:t>
      </w:r>
    </w:p>
    <w:p w14:paraId="7F5FE71E">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12.</w:t>
      </w:r>
      <w:r>
        <w:rPr>
          <w:rFonts w:hint="eastAsia" w:ascii="宋体" w:hAnsi="宋体" w:eastAsia="宋体" w:cs="宋体"/>
          <w:color w:val="auto"/>
          <w:kern w:val="0"/>
          <w:lang w:eastAsia="zh-CN"/>
        </w:rPr>
        <w:t>支持显示≥72小时的全部监测参数趋势图、表分析，报警和操作日志记录</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5000条。</w:t>
      </w:r>
    </w:p>
    <w:p w14:paraId="509B96E1">
      <w:pPr>
        <w:numPr>
          <w:ilvl w:val="0"/>
          <w:numId w:val="0"/>
        </w:numPr>
        <w:spacing w:line="360" w:lineRule="exac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r>
        <w:rPr>
          <w:rFonts w:hint="eastAsia" w:ascii="宋体" w:hAnsi="宋体" w:eastAsia="宋体" w:cs="宋体"/>
          <w:color w:val="auto"/>
          <w:kern w:val="0"/>
          <w:lang w:eastAsia="zh-CN"/>
        </w:rPr>
        <w:t>▲具备智能同步技术，可提高病人自主呼吸时的舒适度和人机同步性，</w:t>
      </w:r>
      <w:r>
        <w:rPr>
          <w:rFonts w:hint="eastAsia" w:ascii="宋体" w:hAnsi="宋体" w:eastAsia="宋体" w:cs="宋体"/>
          <w:color w:val="auto"/>
          <w:kern w:val="0"/>
          <w:lang w:eastAsia="zh-CN"/>
        </w:rPr>
        <w:t>吸气触发、呼气触发和压力上升时间</w:t>
      </w:r>
      <w:r>
        <w:rPr>
          <w:rFonts w:hint="eastAsia" w:ascii="宋体" w:hAnsi="宋体" w:eastAsia="宋体" w:cs="宋体"/>
          <w:color w:val="auto"/>
          <w:kern w:val="0"/>
          <w:lang w:val="en-US" w:eastAsia="zh-CN"/>
        </w:rPr>
        <w:t>可</w:t>
      </w:r>
      <w:r>
        <w:rPr>
          <w:rFonts w:hint="eastAsia" w:ascii="宋体" w:hAnsi="宋体" w:eastAsia="宋体" w:cs="宋体"/>
          <w:color w:val="auto"/>
          <w:kern w:val="0"/>
          <w:lang w:eastAsia="zh-CN"/>
        </w:rPr>
        <w:t>自动调节。</w:t>
      </w:r>
    </w:p>
    <w:p w14:paraId="65F78F4A">
      <w:pPr>
        <w:numPr>
          <w:ilvl w:val="0"/>
          <w:numId w:val="0"/>
        </w:numPr>
        <w:spacing w:line="360" w:lineRule="exact"/>
        <w:rPr>
          <w:rFonts w:hint="eastAsia" w:ascii="宋体" w:hAnsi="宋体" w:eastAsia="宋体" w:cs="宋体"/>
          <w:color w:val="auto"/>
          <w:kern w:val="0"/>
          <w:lang w:eastAsia="zh-CN"/>
        </w:rPr>
      </w:pPr>
      <w:bookmarkStart w:id="0" w:name="OLE_LINK3"/>
      <w:r>
        <w:rPr>
          <w:rFonts w:hint="eastAsia" w:ascii="宋体" w:hAnsi="宋体" w:eastAsia="宋体" w:cs="宋体"/>
          <w:color w:val="auto"/>
          <w:kern w:val="0"/>
          <w:lang w:val="en-US" w:eastAsia="zh-CN"/>
        </w:rPr>
        <w:t>14.</w:t>
      </w:r>
      <w:r>
        <w:rPr>
          <w:rFonts w:hint="eastAsia" w:ascii="宋体" w:hAnsi="宋体" w:eastAsia="宋体" w:cs="宋体"/>
          <w:color w:val="auto"/>
          <w:kern w:val="0"/>
          <w:lang w:val="en-US" w:eastAsia="zh-CN"/>
        </w:rPr>
        <w:t>具备超声氧传感器和化学氧传感器。</w:t>
      </w:r>
    </w:p>
    <w:bookmarkEnd w:id="0"/>
    <w:p w14:paraId="38A17104">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15.</w:t>
      </w:r>
      <w:r>
        <w:rPr>
          <w:rFonts w:hint="eastAsia" w:ascii="宋体" w:hAnsi="宋体" w:eastAsia="宋体" w:cs="宋体"/>
          <w:color w:val="auto"/>
          <w:kern w:val="0"/>
          <w:lang w:eastAsia="zh-CN"/>
        </w:rPr>
        <w:t>潮气量范围于：20ml～2000ml。</w:t>
      </w:r>
    </w:p>
    <w:p w14:paraId="2B3944C5">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16.</w:t>
      </w:r>
      <w:r>
        <w:rPr>
          <w:rFonts w:hint="eastAsia" w:ascii="宋体" w:hAnsi="宋体" w:eastAsia="宋体" w:cs="宋体"/>
          <w:color w:val="auto"/>
          <w:kern w:val="0"/>
          <w:lang w:eastAsia="zh-CN"/>
        </w:rPr>
        <w:t>呼吸频率范围：1～100次/min，吸气时间：0.1～10s，吸气压力范围：5～80 cmH₂O。</w:t>
      </w:r>
    </w:p>
    <w:p w14:paraId="72E2D446">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17.</w:t>
      </w:r>
      <w:r>
        <w:rPr>
          <w:rFonts w:hint="eastAsia" w:ascii="宋体" w:hAnsi="宋体" w:eastAsia="宋体" w:cs="宋体"/>
          <w:color w:val="auto"/>
          <w:kern w:val="0"/>
          <w:lang w:eastAsia="zh-CN"/>
        </w:rPr>
        <w:t>▲压力触发灵敏度：-20～-0.5cmH₂O。</w:t>
      </w:r>
      <w:r>
        <w:rPr>
          <w:rFonts w:hint="eastAsia" w:ascii="宋体" w:hAnsi="宋体" w:eastAsia="宋体" w:cs="宋体"/>
          <w:color w:val="auto"/>
          <w:kern w:val="0"/>
          <w:lang w:eastAsia="zh-CN"/>
        </w:rPr>
        <w:t>压力支持：0～80cmH₂O。</w:t>
      </w:r>
    </w:p>
    <w:p w14:paraId="0BEBF6C1">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18.</w:t>
      </w:r>
      <w:r>
        <w:rPr>
          <w:rFonts w:hint="eastAsia" w:ascii="宋体" w:hAnsi="宋体" w:eastAsia="宋体" w:cs="宋体"/>
          <w:color w:val="auto"/>
          <w:kern w:val="0"/>
          <w:lang w:eastAsia="zh-CN"/>
        </w:rPr>
        <w:t>▲流速触发灵敏度：0.5～20L/ min。呼气触发灵敏度：</w:t>
      </w:r>
      <w:r>
        <w:rPr>
          <w:rFonts w:hint="eastAsia" w:ascii="宋体" w:hAnsi="宋体" w:eastAsia="宋体" w:cs="宋体"/>
          <w:color w:val="auto"/>
          <w:kern w:val="0"/>
          <w:lang w:eastAsia="zh-CN"/>
        </w:rPr>
        <w:t>1-80%（手动可调）</w:t>
      </w:r>
      <w:r>
        <w:rPr>
          <w:rFonts w:hint="eastAsia" w:ascii="宋体" w:hAnsi="宋体" w:eastAsia="宋体" w:cs="宋体"/>
          <w:color w:val="auto"/>
          <w:kern w:val="0"/>
          <w:lang w:eastAsia="zh-CN"/>
        </w:rPr>
        <w:t>。</w:t>
      </w:r>
    </w:p>
    <w:p w14:paraId="6FFD5590">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19.</w:t>
      </w:r>
      <w:r>
        <w:rPr>
          <w:rFonts w:hint="eastAsia" w:ascii="宋体" w:hAnsi="宋体" w:eastAsia="宋体" w:cs="宋体"/>
          <w:color w:val="auto"/>
          <w:kern w:val="0"/>
          <w:lang w:eastAsia="zh-CN"/>
        </w:rPr>
        <w:t>监测参数</w:t>
      </w:r>
      <w:r>
        <w:rPr>
          <w:rFonts w:hint="eastAsia" w:ascii="宋体" w:hAnsi="宋体" w:eastAsia="宋体" w:cs="宋体"/>
          <w:color w:val="auto"/>
          <w:kern w:val="0"/>
          <w:lang w:val="en-US" w:eastAsia="zh-CN"/>
        </w:rPr>
        <w:t>包括</w:t>
      </w:r>
      <w:r>
        <w:rPr>
          <w:rFonts w:hint="eastAsia" w:ascii="宋体" w:hAnsi="宋体" w:eastAsia="宋体" w:cs="宋体"/>
          <w:color w:val="auto"/>
          <w:kern w:val="0"/>
          <w:lang w:eastAsia="zh-CN"/>
        </w:rPr>
        <w:t>：气道峰压、平台压、平均压、呼气末正压、呼气分钟通气量、吸气分钟通气量、自主呼吸分钟通气量、分钟泄漏量、气体泄漏百分比、吸入潮气量、呼出潮气量、自主呼吸潮气量、单位理想体重呼出潮气量（如TVe/IBW或VT/PBW）。</w:t>
      </w:r>
    </w:p>
    <w:p w14:paraId="04BEBC67">
      <w:pPr>
        <w:numPr>
          <w:ilvl w:val="0"/>
          <w:numId w:val="0"/>
        </w:numPr>
        <w:spacing w:line="360" w:lineRule="exact"/>
        <w:rPr>
          <w:rFonts w:hint="eastAsia" w:ascii="宋体" w:hAnsi="宋体" w:eastAsia="宋体" w:cs="宋体"/>
          <w:color w:val="auto"/>
          <w:kern w:val="0"/>
          <w:lang w:eastAsia="zh-CN"/>
        </w:rPr>
      </w:pPr>
      <w:bookmarkStart w:id="1" w:name="OLE_LINK1"/>
      <w:r>
        <w:rPr>
          <w:rFonts w:hint="eastAsia" w:ascii="宋体" w:hAnsi="宋体" w:eastAsia="宋体" w:cs="宋体"/>
          <w:color w:val="auto"/>
          <w:kern w:val="0"/>
          <w:lang w:val="en-US" w:eastAsia="zh-CN"/>
        </w:rPr>
        <w:t>20.</w:t>
      </w:r>
      <w:bookmarkStart w:id="2" w:name="OLE_LINK2"/>
      <w:r>
        <w:rPr>
          <w:rFonts w:hint="eastAsia" w:ascii="宋体" w:hAnsi="宋体" w:eastAsia="宋体" w:cs="宋体"/>
          <w:color w:val="auto"/>
          <w:kern w:val="0"/>
          <w:lang w:val="en-US" w:eastAsia="zh-CN"/>
        </w:rPr>
        <w:t>配置2块锂电池，</w:t>
      </w:r>
      <w:r>
        <w:rPr>
          <w:rFonts w:hint="eastAsia" w:ascii="宋体" w:hAnsi="宋体" w:eastAsia="宋体" w:cs="宋体"/>
          <w:color w:val="auto"/>
          <w:kern w:val="0"/>
          <w:lang w:eastAsia="zh-CN"/>
        </w:rPr>
        <w:t>供电时间</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4小时。</w:t>
      </w:r>
      <w:bookmarkEnd w:id="2"/>
    </w:p>
    <w:bookmarkEnd w:id="1"/>
    <w:p w14:paraId="367648F4">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21.</w:t>
      </w:r>
      <w:r>
        <w:rPr>
          <w:rFonts w:hint="eastAsia" w:ascii="宋体" w:hAnsi="宋体" w:eastAsia="宋体" w:cs="宋体"/>
          <w:color w:val="auto"/>
          <w:kern w:val="0"/>
          <w:lang w:eastAsia="zh-CN"/>
        </w:rPr>
        <w:t>信息互连：</w:t>
      </w:r>
      <w:r>
        <w:rPr>
          <w:rFonts w:hint="eastAsia" w:ascii="宋体" w:hAnsi="宋体" w:eastAsia="宋体" w:cs="宋体"/>
          <w:color w:val="auto"/>
          <w:kern w:val="0"/>
          <w:lang w:val="en-US" w:eastAsia="zh-CN"/>
        </w:rPr>
        <w:t>具备与</w:t>
      </w:r>
      <w:r>
        <w:rPr>
          <w:rFonts w:hint="eastAsia" w:ascii="宋体" w:hAnsi="宋体" w:eastAsia="宋体" w:cs="宋体"/>
          <w:color w:val="auto"/>
          <w:kern w:val="0"/>
          <w:lang w:eastAsia="zh-CN"/>
        </w:rPr>
        <w:t>同一品牌监护仪互联，呼吸机的监测参数和波形</w:t>
      </w:r>
      <w:r>
        <w:rPr>
          <w:rFonts w:hint="eastAsia" w:ascii="宋体" w:hAnsi="宋体" w:eastAsia="宋体" w:cs="宋体"/>
          <w:color w:val="auto"/>
          <w:kern w:val="0"/>
          <w:lang w:val="en-US" w:eastAsia="zh-CN"/>
        </w:rPr>
        <w:t>可</w:t>
      </w:r>
      <w:r>
        <w:rPr>
          <w:rFonts w:hint="eastAsia" w:ascii="宋体" w:hAnsi="宋体" w:eastAsia="宋体" w:cs="宋体"/>
          <w:color w:val="auto"/>
          <w:kern w:val="0"/>
          <w:lang w:eastAsia="zh-CN"/>
        </w:rPr>
        <w:t>实时显示到监护仪上，</w:t>
      </w:r>
      <w:r>
        <w:rPr>
          <w:rFonts w:hint="eastAsia" w:ascii="宋体" w:hAnsi="宋体" w:eastAsia="宋体" w:cs="宋体"/>
          <w:color w:val="auto"/>
          <w:kern w:val="0"/>
          <w:lang w:val="en-US" w:eastAsia="zh-CN"/>
        </w:rPr>
        <w:t>支持</w:t>
      </w:r>
      <w:r>
        <w:rPr>
          <w:rFonts w:hint="eastAsia" w:ascii="宋体" w:hAnsi="宋体" w:eastAsia="宋体" w:cs="宋体"/>
          <w:color w:val="auto"/>
          <w:kern w:val="0"/>
          <w:lang w:eastAsia="zh-CN"/>
        </w:rPr>
        <w:t>连接</w:t>
      </w:r>
      <w:r>
        <w:rPr>
          <w:rFonts w:hint="eastAsia" w:ascii="宋体" w:hAnsi="宋体" w:eastAsia="宋体" w:cs="宋体"/>
          <w:color w:val="auto"/>
          <w:kern w:val="0"/>
          <w:lang w:val="en-US" w:eastAsia="zh-CN"/>
        </w:rPr>
        <w:t>心电</w:t>
      </w:r>
      <w:r>
        <w:rPr>
          <w:rFonts w:hint="eastAsia" w:ascii="宋体" w:hAnsi="宋体" w:eastAsia="宋体" w:cs="宋体"/>
          <w:color w:val="auto"/>
          <w:kern w:val="0"/>
          <w:lang w:eastAsia="zh-CN"/>
        </w:rPr>
        <w:t>中央站、</w:t>
      </w:r>
      <w:r>
        <w:rPr>
          <w:rFonts w:hint="eastAsia" w:ascii="宋体" w:hAnsi="宋体" w:eastAsia="宋体" w:cs="宋体"/>
          <w:color w:val="auto"/>
          <w:kern w:val="0"/>
          <w:lang w:val="en-US" w:eastAsia="zh-CN"/>
        </w:rPr>
        <w:t>医院HIS系统、医院</w:t>
      </w:r>
      <w:r>
        <w:rPr>
          <w:rFonts w:ascii="宋体" w:hAnsi="宋体" w:eastAsia="宋体" w:cs="宋体"/>
          <w:color w:val="auto"/>
          <w:sz w:val="24"/>
          <w:szCs w:val="24"/>
        </w:rPr>
        <w:t>临床信息系统</w:t>
      </w:r>
      <w:r>
        <w:rPr>
          <w:rFonts w:hint="eastAsia" w:ascii="宋体" w:hAnsi="宋体" w:eastAsia="宋体" w:cs="宋体"/>
          <w:color w:val="auto"/>
          <w:kern w:val="0"/>
          <w:lang w:eastAsia="zh-CN"/>
        </w:rPr>
        <w:t>，满足科室信息化的需求，支持HL7协议。</w:t>
      </w:r>
    </w:p>
    <w:p w14:paraId="2CE4E1B1">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22.</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主机</w:t>
      </w:r>
      <w:r>
        <w:rPr>
          <w:rFonts w:hint="eastAsia" w:ascii="宋体" w:hAnsi="宋体" w:eastAsia="宋体" w:cs="宋体"/>
          <w:color w:val="auto"/>
          <w:kern w:val="0"/>
          <w:lang w:eastAsia="zh-CN"/>
        </w:rPr>
        <w:t>具备</w:t>
      </w:r>
      <w:r>
        <w:rPr>
          <w:rFonts w:hint="eastAsia" w:ascii="宋体" w:hAnsi="宋体" w:eastAsia="宋体" w:cs="宋体"/>
          <w:color w:val="auto"/>
          <w:kern w:val="0"/>
          <w:lang w:val="en-US" w:eastAsia="zh-CN"/>
        </w:rPr>
        <w:t>非外接的</w:t>
      </w:r>
      <w:r>
        <w:rPr>
          <w:rFonts w:hint="eastAsia" w:ascii="宋体" w:hAnsi="宋体" w:eastAsia="宋体" w:cs="宋体"/>
          <w:color w:val="auto"/>
          <w:kern w:val="0"/>
          <w:lang w:eastAsia="zh-CN"/>
        </w:rPr>
        <w:t>网络接口、USB接口、</w:t>
      </w:r>
      <w:r>
        <w:rPr>
          <w:rFonts w:hint="eastAsia" w:ascii="宋体" w:hAnsi="宋体" w:eastAsia="宋体" w:cs="宋体"/>
          <w:color w:val="auto"/>
          <w:kern w:val="0"/>
          <w:lang w:val="en-US" w:eastAsia="zh-CN"/>
        </w:rPr>
        <w:t>RS232接口，并且支持升级VGA接口（非HDMI接口、非外接）。</w:t>
      </w:r>
    </w:p>
    <w:p w14:paraId="5BFF905B">
      <w:pPr>
        <w:numPr>
          <w:ilvl w:val="0"/>
          <w:numId w:val="0"/>
        </w:numPr>
        <w:spacing w:line="360" w:lineRule="exac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23.</w:t>
      </w:r>
      <w:r>
        <w:rPr>
          <w:rFonts w:hint="eastAsia" w:ascii="宋体" w:hAnsi="宋体" w:eastAsia="宋体" w:cs="宋体"/>
          <w:color w:val="auto"/>
          <w:kern w:val="0"/>
          <w:lang w:eastAsia="zh-CN"/>
        </w:rPr>
        <w:t>湿化器</w:t>
      </w:r>
      <w:r>
        <w:rPr>
          <w:rFonts w:hint="eastAsia" w:ascii="宋体" w:hAnsi="宋体" w:eastAsia="宋体" w:cs="宋体"/>
          <w:color w:val="auto"/>
          <w:kern w:val="0"/>
          <w:lang w:val="en-US" w:eastAsia="zh-CN"/>
        </w:rPr>
        <w:t>与主机同品牌</w:t>
      </w:r>
      <w:r>
        <w:rPr>
          <w:rFonts w:hint="eastAsia" w:ascii="宋体" w:hAnsi="宋体" w:eastAsia="宋体" w:cs="宋体"/>
          <w:color w:val="auto"/>
          <w:kern w:val="0"/>
          <w:lang w:eastAsia="zh-CN"/>
        </w:rPr>
        <w:t>，湿化器具有</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3英寸触摸屏，并且支持档位调节和温度调节两种模式</w:t>
      </w:r>
      <w:r>
        <w:rPr>
          <w:rFonts w:hint="eastAsia" w:ascii="宋体" w:hAnsi="宋体" w:eastAsia="宋体" w:cs="宋体"/>
          <w:color w:val="auto"/>
          <w:kern w:val="0"/>
          <w:lang w:val="en-US" w:eastAsia="zh-CN"/>
        </w:rPr>
        <w:t>。湿化罐支持重复使用。</w:t>
      </w:r>
    </w:p>
    <w:p w14:paraId="3106ACE0">
      <w:pPr>
        <w:numPr>
          <w:ilvl w:val="0"/>
          <w:numId w:val="0"/>
        </w:numPr>
        <w:spacing w:line="360" w:lineRule="exact"/>
        <w:ind w:leftChars="0"/>
        <w:jc w:val="left"/>
        <w:rPr>
          <w:rFonts w:hint="eastAsia"/>
          <w:color w:val="auto"/>
          <w:lang w:val="en-US" w:eastAsia="zh-CN"/>
        </w:rPr>
      </w:pPr>
      <w:r>
        <w:rPr>
          <w:rFonts w:hint="eastAsia"/>
          <w:color w:val="auto"/>
          <w:lang w:val="en-US" w:eastAsia="zh-CN"/>
        </w:rPr>
        <w:t>24.</w:t>
      </w:r>
      <w:r>
        <w:rPr>
          <w:rFonts w:hint="eastAsia" w:ascii="仿宋_GB2312" w:hAnsi="仿宋_GB2312" w:eastAsia="仿宋_GB2312" w:cs="仿宋_GB2312"/>
          <w:color w:val="auto"/>
          <w:lang w:val="en-US" w:eastAsia="zh-CN"/>
        </w:rPr>
        <w:t>★</w:t>
      </w:r>
      <w:r>
        <w:rPr>
          <w:rFonts w:hint="eastAsia"/>
          <w:color w:val="auto"/>
          <w:lang w:val="en-US" w:eastAsia="zh-CN"/>
        </w:rPr>
        <w:t>配置清单：主机1台、台车1台、锂电池2块、氧气钢瓶1个、减压阀1个、氧气管道2根、德标中心氧气接头1个。</w:t>
      </w:r>
    </w:p>
    <w:p w14:paraId="7F08E28C">
      <w:pPr>
        <w:numPr>
          <w:ilvl w:val="0"/>
          <w:numId w:val="0"/>
        </w:numPr>
        <w:spacing w:line="360" w:lineRule="exact"/>
        <w:ind w:leftChars="0"/>
        <w:jc w:val="left"/>
        <w:rPr>
          <w:b/>
          <w:bCs/>
          <w:color w:val="auto"/>
        </w:rPr>
      </w:pPr>
      <w:r>
        <w:rPr>
          <w:rFonts w:hint="eastAsia"/>
          <w:b/>
          <w:bCs/>
          <w:color w:val="auto"/>
        </w:rPr>
        <w:t>三、商务要求：</w:t>
      </w:r>
    </w:p>
    <w:p w14:paraId="6205C76F">
      <w:pPr>
        <w:spacing w:line="360" w:lineRule="exact"/>
        <w:rPr>
          <w:rFonts w:hint="eastAsia" w:ascii="宋体" w:hAnsi="宋体" w:cs="宋体"/>
          <w:color w:val="000000"/>
          <w:kern w:val="0"/>
        </w:rPr>
      </w:pPr>
      <w:r>
        <w:rPr>
          <w:rFonts w:hint="eastAsia" w:ascii="宋体" w:hAnsi="宋体" w:cs="宋体"/>
          <w:color w:val="000000"/>
          <w:kern w:val="0"/>
        </w:rPr>
        <w:t>1.合同履行期限及地点</w:t>
      </w:r>
    </w:p>
    <w:p w14:paraId="7A03F643">
      <w:pPr>
        <w:numPr>
          <w:ilvl w:val="0"/>
          <w:numId w:val="0"/>
        </w:numPr>
        <w:spacing w:line="360" w:lineRule="exact"/>
        <w:rPr>
          <w:rFonts w:hint="eastAsia" w:ascii="宋体" w:hAnsi="宋体" w:cs="宋体"/>
          <w:color w:val="000000"/>
          <w:kern w:val="0"/>
        </w:rPr>
      </w:pPr>
      <w:r>
        <w:rPr>
          <w:rFonts w:hint="eastAsia" w:ascii="宋体" w:hAnsi="宋体" w:cs="宋体"/>
          <w:color w:val="000000"/>
          <w:kern w:val="0"/>
        </w:rPr>
        <w:t>1.1 合同履行期限：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14:paraId="346145A0">
      <w:pPr>
        <w:spacing w:line="360" w:lineRule="exact"/>
        <w:rPr>
          <w:rFonts w:hint="eastAsia" w:ascii="宋体" w:hAnsi="宋体" w:cs="宋体"/>
          <w:color w:val="000000"/>
          <w:kern w:val="0"/>
        </w:rPr>
      </w:pPr>
      <w:r>
        <w:rPr>
          <w:rFonts w:hint="eastAsia" w:ascii="宋体" w:hAnsi="宋体" w:cs="宋体"/>
          <w:color w:val="000000"/>
          <w:kern w:val="0"/>
        </w:rPr>
        <w:t>1.2 合同履行地点：四川省妇幼保健院。</w:t>
      </w:r>
    </w:p>
    <w:p w14:paraId="00577C24">
      <w:pPr>
        <w:spacing w:line="360" w:lineRule="exact"/>
        <w:rPr>
          <w:rFonts w:hint="eastAsia" w:ascii="宋体" w:hAnsi="宋体" w:cs="宋体"/>
          <w:color w:val="000000"/>
          <w:kern w:val="0"/>
        </w:rPr>
      </w:pPr>
      <w:r>
        <w:rPr>
          <w:rFonts w:hint="eastAsia" w:ascii="宋体" w:hAnsi="宋体" w:cs="宋体"/>
          <w:color w:val="000000"/>
          <w:kern w:val="0"/>
        </w:rPr>
        <w:t>2.付款方法和条件：</w:t>
      </w:r>
    </w:p>
    <w:p w14:paraId="6E932F81">
      <w:pPr>
        <w:spacing w:line="360" w:lineRule="exact"/>
        <w:rPr>
          <w:rFonts w:hint="eastAsia" w:ascii="宋体" w:hAnsi="宋体" w:eastAsia="宋体" w:cs="宋体"/>
          <w:color w:val="000000"/>
          <w:kern w:val="0"/>
        </w:rPr>
      </w:pPr>
      <w:r>
        <w:rPr>
          <w:rFonts w:hint="eastAsia" w:ascii="宋体" w:hAnsi="宋体" w:eastAsia="宋体" w:cs="宋体"/>
          <w:color w:val="000000"/>
          <w:kern w:val="0"/>
          <w:lang w:val="en-US" w:eastAsia="zh-CN"/>
        </w:rPr>
        <w:t>2.1</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日内支付合同总价100%的货款给乙方。  </w:t>
      </w:r>
    </w:p>
    <w:p w14:paraId="550ECDFF">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2.2收取履约保证金形式：乙方在收到甲方通知后7日内、设备安装前，按合同总价 10%支付履约保证金；设备自验收合格之日满 2 年，甲方接到乙方付款申请后 30 个工作日内，甲方一次性无息退还乙方的履约保证金；经验收后乙方履约不合格的，履约保证金不予退还。   履约保证金</w:t>
      </w:r>
      <w:r>
        <w:rPr>
          <w:rFonts w:hint="eastAsia" w:ascii="宋体" w:hAnsi="宋体" w:eastAsia="宋体" w:cs="宋体"/>
          <w:color w:val="000000"/>
          <w:kern w:val="0"/>
          <w:lang w:val="zh-CN" w:eastAsia="zh-CN"/>
        </w:rPr>
        <w:t>以</w:t>
      </w:r>
      <w:r>
        <w:rPr>
          <w:rFonts w:hint="eastAsia" w:ascii="宋体" w:hAnsi="宋体" w:eastAsia="宋体" w:cs="宋体"/>
          <w:color w:val="000000"/>
          <w:kern w:val="0"/>
          <w:lang w:val="en-US" w:eastAsia="zh-CN"/>
        </w:rPr>
        <w:t>转账、</w:t>
      </w:r>
      <w:r>
        <w:rPr>
          <w:rFonts w:hint="eastAsia" w:ascii="宋体" w:hAnsi="宋体" w:eastAsia="宋体" w:cs="宋体"/>
          <w:color w:val="000000"/>
          <w:kern w:val="0"/>
          <w:lang w:val="zh-CN" w:eastAsia="zh-CN"/>
        </w:rPr>
        <w:t>支票、汇票、本票或者金融机构、担保机构出具的保函等非现金形式提交，应注明</w:t>
      </w:r>
      <w:r>
        <w:rPr>
          <w:rFonts w:hint="eastAsia" w:ascii="宋体" w:hAnsi="宋体" w:eastAsia="宋体" w:cs="宋体"/>
          <w:color w:val="000000"/>
          <w:kern w:val="0"/>
          <w:lang w:val="en-US" w:eastAsia="zh-CN"/>
        </w:rPr>
        <w:t>设备名称＋</w:t>
      </w:r>
      <w:r>
        <w:rPr>
          <w:rFonts w:hint="eastAsia" w:ascii="宋体" w:hAnsi="宋体" w:eastAsia="宋体" w:cs="宋体"/>
          <w:color w:val="000000"/>
          <w:kern w:val="0"/>
          <w:lang w:val="zh-CN" w:eastAsia="zh-CN"/>
        </w:rPr>
        <w:t>履约保证金。</w:t>
      </w:r>
      <w:r>
        <w:rPr>
          <w:rFonts w:hint="eastAsia" w:ascii="宋体" w:hAnsi="宋体" w:eastAsia="宋体" w:cs="宋体"/>
          <w:color w:val="000000"/>
          <w:kern w:val="0"/>
          <w:lang w:val="en-US" w:eastAsia="zh-CN"/>
        </w:rPr>
        <w:t xml:space="preserve"> </w:t>
      </w:r>
    </w:p>
    <w:p w14:paraId="180AFD7A">
      <w:pPr>
        <w:spacing w:line="360" w:lineRule="exact"/>
        <w:rPr>
          <w:rFonts w:hint="eastAsia" w:ascii="宋体" w:hAnsi="宋体" w:cs="宋体"/>
          <w:color w:val="000000"/>
          <w:kern w:val="0"/>
        </w:rPr>
      </w:pPr>
      <w:r>
        <w:rPr>
          <w:rFonts w:hint="eastAsia" w:ascii="宋体" w:hAnsi="宋体" w:cs="宋体"/>
          <w:color w:val="000000"/>
          <w:kern w:val="0"/>
        </w:rPr>
        <w:t>3.安装调试及验收：</w:t>
      </w:r>
    </w:p>
    <w:p w14:paraId="0D9FC917">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14:paraId="54B37656">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14:paraId="3A1D4B33">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14:paraId="50A9B6B8">
      <w:pPr>
        <w:spacing w:line="360" w:lineRule="exact"/>
        <w:rPr>
          <w:rFonts w:hint="default" w:ascii="宋体" w:hAnsi="宋体" w:cs="宋体" w:eastAsiaTheme="minorEastAsia"/>
          <w:b/>
          <w:bCs/>
          <w:color w:val="000000"/>
          <w:kern w:val="0"/>
          <w:highlight w:val="none"/>
          <w:lang w:val="en-US" w:eastAsia="zh-CN"/>
        </w:rPr>
      </w:pPr>
      <w:r>
        <w:rPr>
          <w:rFonts w:hint="eastAsia" w:ascii="宋体" w:hAnsi="宋体" w:cs="宋体"/>
          <w:b/>
          <w:bCs/>
          <w:color w:val="000000"/>
          <w:kern w:val="0"/>
          <w:highlight w:val="none"/>
          <w:lang w:val="en-US" w:eastAsia="zh-CN"/>
        </w:rPr>
        <w:t>3.4 按医院要求的路径接入医院现有信息系统，涉及到的网关等软硬件</w:t>
      </w:r>
      <w:r>
        <w:rPr>
          <w:rFonts w:hint="eastAsia" w:ascii="宋体" w:hAnsi="宋体" w:cs="宋体"/>
          <w:b/>
          <w:bCs/>
          <w:color w:val="000000"/>
          <w:kern w:val="0"/>
          <w:highlight w:val="none"/>
          <w:lang w:val="en-US" w:eastAsia="zh-CN"/>
        </w:rPr>
        <w:t>接入</w:t>
      </w:r>
      <w:r>
        <w:rPr>
          <w:rFonts w:hint="eastAsia" w:ascii="宋体" w:hAnsi="宋体" w:cs="宋体"/>
          <w:b/>
          <w:bCs/>
          <w:color w:val="000000"/>
          <w:kern w:val="0"/>
          <w:highlight w:val="none"/>
          <w:lang w:val="en-US" w:eastAsia="zh-CN"/>
        </w:rPr>
        <w:t>费用</w:t>
      </w:r>
      <w:bookmarkStart w:id="4" w:name="_GoBack"/>
      <w:bookmarkEnd w:id="4"/>
      <w:r>
        <w:rPr>
          <w:rFonts w:hint="eastAsia" w:ascii="宋体" w:hAnsi="宋体" w:cs="宋体"/>
          <w:b/>
          <w:bCs/>
          <w:color w:val="000000"/>
          <w:kern w:val="0"/>
          <w:highlight w:val="none"/>
          <w:lang w:val="en-US" w:eastAsia="zh-CN"/>
        </w:rPr>
        <w:t>由中标供应商承担。</w:t>
      </w:r>
    </w:p>
    <w:p w14:paraId="1866C9C3">
      <w:pPr>
        <w:spacing w:line="360" w:lineRule="exact"/>
        <w:rPr>
          <w:rFonts w:hint="eastAsia" w:ascii="宋体" w:hAnsi="宋体" w:cs="宋体"/>
          <w:color w:val="000000"/>
          <w:kern w:val="0"/>
        </w:rPr>
      </w:pPr>
      <w:r>
        <w:rPr>
          <w:rFonts w:hint="eastAsia" w:ascii="宋体" w:hAnsi="宋体" w:cs="宋体"/>
          <w:color w:val="000000"/>
          <w:kern w:val="0"/>
        </w:rPr>
        <w:t>4.售后服务：</w:t>
      </w:r>
    </w:p>
    <w:p w14:paraId="55DF8C54">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000000"/>
          <w:kern w:val="0"/>
        </w:rPr>
        <w:t>年</w:t>
      </w:r>
      <w:r>
        <w:rPr>
          <w:rFonts w:hint="eastAsia" w:ascii="宋体" w:hAnsi="宋体" w:cs="宋体"/>
          <w:color w:val="000000"/>
          <w:kern w:val="0"/>
        </w:rPr>
        <w:t>原厂质保（含整机所有部件；如质保期内部件损坏，中标人免费更换全新原厂配件，并对更换部件延长一年质保）。</w:t>
      </w:r>
    </w:p>
    <w:p w14:paraId="39D15608">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14:paraId="60CF24E5">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14:paraId="3156D23F">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14:paraId="00ED3DAF">
      <w:pPr>
        <w:spacing w:line="360" w:lineRule="exact"/>
        <w:rPr>
          <w:rFonts w:hint="eastAsia" w:ascii="宋体" w:hAnsi="宋体" w:cs="宋体"/>
          <w:color w:val="000000"/>
          <w:kern w:val="0"/>
        </w:rPr>
      </w:pPr>
      <w:r>
        <w:rPr>
          <w:rFonts w:hint="eastAsia" w:ascii="宋体" w:hAnsi="宋体" w:cs="宋体"/>
          <w:color w:val="000000"/>
          <w:kern w:val="0"/>
        </w:rPr>
        <w:t>4.5中标人应承诺保证设备停产后至少5年的零配件供应。</w:t>
      </w:r>
    </w:p>
    <w:p w14:paraId="7AB73AFD">
      <w:pPr>
        <w:spacing w:line="360" w:lineRule="exact"/>
        <w:rPr>
          <w:rFonts w:hint="default" w:ascii="宋体" w:hAnsi="宋体" w:cs="宋体" w:eastAsiaTheme="minorEastAsia"/>
          <w:color w:val="000000"/>
          <w:kern w:val="0"/>
          <w:lang w:val="en-US" w:eastAsia="zh-CN"/>
        </w:rPr>
      </w:pPr>
    </w:p>
    <w:p w14:paraId="228B4ABB">
      <w:pPr>
        <w:spacing w:line="360" w:lineRule="exact"/>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14:paraId="36DA1D51">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741"/>
        <w:gridCol w:w="1193"/>
        <w:gridCol w:w="5785"/>
        <w:gridCol w:w="1607"/>
      </w:tblGrid>
      <w:tr w14:paraId="7296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14:paraId="526C8297">
            <w:pPr>
              <w:spacing w:line="360" w:lineRule="exact"/>
              <w:jc w:val="center"/>
              <w:rPr>
                <w:rFonts w:cs="宋体"/>
                <w:color w:val="auto"/>
                <w:kern w:val="0"/>
              </w:rPr>
            </w:pPr>
            <w:r>
              <w:rPr>
                <w:rFonts w:hint="eastAsia" w:cs="宋体"/>
                <w:color w:val="auto"/>
                <w:kern w:val="0"/>
              </w:rPr>
              <w:t>评分</w:t>
            </w:r>
          </w:p>
          <w:p w14:paraId="78CBAD1D">
            <w:pPr>
              <w:spacing w:line="360" w:lineRule="exact"/>
              <w:jc w:val="center"/>
              <w:rPr>
                <w:rFonts w:cs="宋体"/>
                <w:color w:val="auto"/>
                <w:kern w:val="0"/>
              </w:rPr>
            </w:pPr>
            <w:r>
              <w:rPr>
                <w:rFonts w:hint="eastAsia" w:cs="宋体"/>
                <w:color w:val="auto"/>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14:paraId="565E62D6">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349" w:type="pct"/>
            <w:tcBorders>
              <w:top w:val="single" w:color="auto" w:sz="4" w:space="0"/>
              <w:left w:val="single" w:color="auto" w:sz="4" w:space="0"/>
              <w:bottom w:val="single" w:color="auto" w:sz="4" w:space="0"/>
              <w:right w:val="single" w:color="auto" w:sz="4" w:space="0"/>
            </w:tcBorders>
            <w:vAlign w:val="center"/>
          </w:tcPr>
          <w:p w14:paraId="2475D0CF">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14:paraId="701997D2">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14:paraId="7F361707">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14:paraId="1FC7087C">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14:paraId="70E8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14:paraId="3F532ED0">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14:paraId="76FFA34F">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shd w:val="clear"/>
            <w:vAlign w:val="center"/>
          </w:tcPr>
          <w:p w14:paraId="2C06CBD6">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14:paraId="7897CF50">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40766FD4">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6" w:type="pct"/>
            <w:tcBorders>
              <w:top w:val="single" w:color="auto" w:sz="4" w:space="0"/>
              <w:left w:val="single" w:color="auto" w:sz="4" w:space="0"/>
              <w:bottom w:val="single" w:color="auto" w:sz="4" w:space="0"/>
              <w:right w:val="single" w:color="auto" w:sz="4" w:space="0"/>
            </w:tcBorders>
            <w:shd w:val="clear"/>
            <w:vAlign w:val="center"/>
          </w:tcPr>
          <w:p w14:paraId="7C7F6C23">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14:paraId="61B11745">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eastAsia="宋体" w:cs="宋体"/>
              </w:rPr>
              <w:t>小微企业(监独企业、残疾人福利性单位视同小微企业)价格扣除等政策评分按照须知前附表规定执行</w:t>
            </w:r>
            <w:r>
              <w:rPr>
                <w:rFonts w:hint="eastAsia" w:ascii="宋体" w:hAnsi="宋体" w:eastAsia="宋体" w:cs="宋体"/>
                <w:lang w:eastAsia="zh-CN"/>
              </w:rPr>
              <w:t>。</w:t>
            </w:r>
          </w:p>
        </w:tc>
        <w:tc>
          <w:tcPr>
            <w:tcW w:w="757" w:type="pct"/>
            <w:tcBorders>
              <w:top w:val="single" w:color="auto" w:sz="4" w:space="0"/>
              <w:left w:val="single" w:color="auto" w:sz="4" w:space="0"/>
              <w:bottom w:val="single" w:color="auto" w:sz="4" w:space="0"/>
              <w:right w:val="single" w:color="auto" w:sz="4" w:space="0"/>
            </w:tcBorders>
            <w:shd w:val="clear"/>
            <w:vAlign w:val="center"/>
          </w:tcPr>
          <w:p w14:paraId="472671C1">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14:paraId="0C7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14:paraId="2B80CA92">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14:paraId="06DCD1F7">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349" w:type="pct"/>
            <w:tcBorders>
              <w:top w:val="single" w:color="auto" w:sz="4" w:space="0"/>
              <w:left w:val="single" w:color="auto" w:sz="4" w:space="0"/>
              <w:bottom w:val="single" w:color="auto" w:sz="4" w:space="0"/>
              <w:right w:val="single" w:color="auto" w:sz="4" w:space="0"/>
            </w:tcBorders>
            <w:shd w:val="clear"/>
            <w:vAlign w:val="center"/>
          </w:tcPr>
          <w:p w14:paraId="2B94D87D">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14:paraId="2F5C356F">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2E737A8A">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56</w:t>
            </w:r>
          </w:p>
        </w:tc>
        <w:tc>
          <w:tcPr>
            <w:tcW w:w="2726" w:type="pct"/>
            <w:tcBorders>
              <w:top w:val="single" w:color="auto" w:sz="4" w:space="0"/>
              <w:left w:val="single" w:color="auto" w:sz="4" w:space="0"/>
              <w:bottom w:val="single" w:color="auto" w:sz="4" w:space="0"/>
              <w:right w:val="single" w:color="auto" w:sz="4" w:space="0"/>
            </w:tcBorders>
            <w:shd w:val="clear"/>
            <w:vAlign w:val="center"/>
          </w:tcPr>
          <w:p w14:paraId="19D93AC4">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59</w:t>
            </w:r>
            <w:r>
              <w:rPr>
                <w:rFonts w:hint="eastAsia" w:ascii="宋体" w:hAnsi="宋体" w:cs="宋体"/>
              </w:rPr>
              <w:t>分。▲号条款负偏离一项扣</w:t>
            </w:r>
            <w:r>
              <w:rPr>
                <w:rFonts w:hint="eastAsia" w:ascii="宋体" w:hAnsi="宋体" w:cs="宋体"/>
                <w:lang w:val="en-US" w:eastAsia="zh-CN"/>
              </w:rPr>
              <w:t>4</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11</w:t>
            </w:r>
            <w:r>
              <w:rPr>
                <w:rFonts w:hint="eastAsia" w:ascii="宋体" w:hAnsi="宋体" w:cs="宋体"/>
              </w:rPr>
              <w:t>项，非▲号条款共</w:t>
            </w:r>
            <w:r>
              <w:rPr>
                <w:rFonts w:hint="eastAsia" w:ascii="宋体" w:hAnsi="宋体" w:cs="宋体"/>
                <w:lang w:val="en-US" w:eastAsia="zh-CN"/>
              </w:rPr>
              <w:t>12</w:t>
            </w:r>
            <w:r>
              <w:rPr>
                <w:rFonts w:hint="eastAsia" w:ascii="宋体" w:hAnsi="宋体" w:cs="宋体"/>
              </w:rPr>
              <w:t>项）。</w:t>
            </w:r>
          </w:p>
          <w:p w14:paraId="53084AFE">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vAlign w:val="center"/>
          </w:tcPr>
          <w:p w14:paraId="08F62067">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14:paraId="3C18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14:paraId="59EEEFB2">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14:paraId="42AB82B2">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349" w:type="pct"/>
            <w:tcBorders>
              <w:top w:val="single" w:color="auto" w:sz="4" w:space="0"/>
              <w:left w:val="single" w:color="auto" w:sz="4" w:space="0"/>
              <w:bottom w:val="single" w:color="auto" w:sz="4" w:space="0"/>
              <w:right w:val="single" w:color="auto" w:sz="4" w:space="0"/>
            </w:tcBorders>
            <w:shd w:val="clear"/>
            <w:vAlign w:val="center"/>
          </w:tcPr>
          <w:p w14:paraId="1578F44A">
            <w:pPr>
              <w:widowControl/>
              <w:spacing w:line="360" w:lineRule="exact"/>
              <w:jc w:val="center"/>
              <w:rPr>
                <w:rFonts w:hint="eastAsia" w:ascii="宋体" w:hAnsi="宋体" w:cs="宋体"/>
              </w:rPr>
            </w:pPr>
            <w:r>
              <w:rPr>
                <w:rFonts w:hint="eastAsia" w:ascii="宋体" w:hAnsi="宋体" w:cs="宋体"/>
              </w:rPr>
              <w:t>业绩</w:t>
            </w:r>
          </w:p>
          <w:p w14:paraId="60156351">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8</w:t>
            </w:r>
            <w:r>
              <w:rPr>
                <w:rFonts w:hint="eastAsia" w:ascii="宋体" w:hAnsi="宋体" w:cs="宋体"/>
              </w:rPr>
              <w:t>%</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3FDFCB5C">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8</w:t>
            </w:r>
          </w:p>
        </w:tc>
        <w:tc>
          <w:tcPr>
            <w:tcW w:w="2726" w:type="pct"/>
            <w:tcBorders>
              <w:top w:val="single" w:color="auto" w:sz="4" w:space="0"/>
              <w:left w:val="single" w:color="auto" w:sz="4" w:space="0"/>
              <w:bottom w:val="single" w:color="auto" w:sz="4" w:space="0"/>
              <w:right w:val="single" w:color="auto" w:sz="4" w:space="0"/>
            </w:tcBorders>
            <w:shd w:val="clear"/>
            <w:vAlign w:val="center"/>
          </w:tcPr>
          <w:p w14:paraId="4B8B2186">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年1月1日（含）至今，以合同签订时间为准，投标人每具有一个类似项目业绩的得1分，最高得</w:t>
            </w:r>
            <w:r>
              <w:rPr>
                <w:rFonts w:hint="eastAsia" w:ascii="宋体" w:hAnsi="宋体" w:cs="宋体"/>
                <w:lang w:val="en-US" w:eastAsia="zh-CN"/>
              </w:rPr>
              <w:t>8</w:t>
            </w:r>
            <w:r>
              <w:rPr>
                <w:rFonts w:hint="eastAsia" w:ascii="宋体" w:hAnsi="宋体" w:cs="宋体"/>
              </w:rPr>
              <w:t xml:space="preserve">分。 </w:t>
            </w:r>
          </w:p>
          <w:p w14:paraId="109A7F9F">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vAlign w:val="center"/>
          </w:tcPr>
          <w:p w14:paraId="0122CC1F">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14:paraId="0119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14:paraId="3112FF21">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14:paraId="67F80790">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349" w:type="pct"/>
            <w:tcBorders>
              <w:top w:val="single" w:color="auto" w:sz="4" w:space="0"/>
              <w:left w:val="single" w:color="auto" w:sz="4" w:space="0"/>
              <w:bottom w:val="single" w:color="auto" w:sz="4" w:space="0"/>
              <w:right w:val="single" w:color="auto" w:sz="4" w:space="0"/>
            </w:tcBorders>
            <w:shd w:val="clear"/>
            <w:vAlign w:val="center"/>
          </w:tcPr>
          <w:p w14:paraId="728A7250">
            <w:pPr>
              <w:widowControl/>
              <w:spacing w:line="360" w:lineRule="exact"/>
              <w:jc w:val="center"/>
              <w:rPr>
                <w:rFonts w:hint="eastAsia" w:ascii="宋体" w:hAnsi="宋体" w:cs="宋体"/>
              </w:rPr>
            </w:pPr>
            <w:r>
              <w:rPr>
                <w:rFonts w:hint="eastAsia" w:ascii="宋体" w:hAnsi="宋体" w:cs="宋体"/>
              </w:rPr>
              <w:t>售后服务方案</w:t>
            </w:r>
          </w:p>
          <w:p w14:paraId="0F95986C">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6</w:t>
            </w:r>
            <w:r>
              <w:rPr>
                <w:rFonts w:hint="eastAsia" w:ascii="宋体" w:hAnsi="宋体" w:cs="宋体"/>
              </w:rPr>
              <w:t>%</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5EE9E85F">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lang w:val="en-US" w:eastAsia="zh-CN"/>
              </w:rPr>
              <w:t>6</w:t>
            </w:r>
          </w:p>
        </w:tc>
        <w:tc>
          <w:tcPr>
            <w:tcW w:w="2726" w:type="pct"/>
            <w:tcBorders>
              <w:top w:val="single" w:color="auto" w:sz="4" w:space="0"/>
              <w:left w:val="single" w:color="auto" w:sz="4" w:space="0"/>
              <w:bottom w:val="single" w:color="auto" w:sz="4" w:space="0"/>
              <w:right w:val="single" w:color="auto" w:sz="4" w:space="0"/>
            </w:tcBorders>
            <w:shd w:val="clear"/>
            <w:vAlign w:val="center"/>
          </w:tcPr>
          <w:p w14:paraId="158EF525">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2</w:t>
            </w:r>
            <w:r>
              <w:rPr>
                <w:rFonts w:hint="eastAsia" w:ascii="宋体" w:hAnsi="宋体" w:cs="宋体"/>
              </w:rPr>
              <w:t>分，每缺少一项的扣</w:t>
            </w:r>
            <w:r>
              <w:rPr>
                <w:rFonts w:hint="eastAsia" w:ascii="宋体" w:hAnsi="宋体" w:cs="宋体"/>
                <w:lang w:val="en-US" w:eastAsia="zh-CN"/>
              </w:rPr>
              <w:t>0.5</w:t>
            </w:r>
            <w:r>
              <w:rPr>
                <w:rFonts w:hint="eastAsia" w:ascii="宋体" w:hAnsi="宋体" w:cs="宋体"/>
              </w:rPr>
              <w:t>分，每有一项存在内容缺陷扣0.</w:t>
            </w:r>
            <w:r>
              <w:rPr>
                <w:rFonts w:hint="eastAsia" w:ascii="宋体" w:hAnsi="宋体" w:cs="宋体"/>
                <w:lang w:val="en-US" w:eastAsia="zh-CN"/>
              </w:rPr>
              <w:t>25</w:t>
            </w:r>
            <w:r>
              <w:rPr>
                <w:rFonts w:hint="eastAsia" w:ascii="宋体" w:hAnsi="宋体" w:cs="宋体"/>
              </w:rPr>
              <w:t>分，扣完为止。</w:t>
            </w:r>
          </w:p>
          <w:p w14:paraId="344493EB">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14:paraId="2EBA5A09">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注：内容缺陷是指存在项目名称错误、地点区域错误、内容与本项目需求无关、方案内容矛盾或表述前后不一致、仅有框架或标题、适用的标准(方法)错误、明显复制其他项目内容等任意一种情形。</w:t>
            </w:r>
          </w:p>
        </w:tc>
        <w:tc>
          <w:tcPr>
            <w:tcW w:w="757" w:type="pct"/>
            <w:tcBorders>
              <w:top w:val="single" w:color="auto" w:sz="4" w:space="0"/>
              <w:left w:val="single" w:color="auto" w:sz="4" w:space="0"/>
              <w:bottom w:val="single" w:color="auto" w:sz="4" w:space="0"/>
              <w:right w:val="single" w:color="auto" w:sz="4" w:space="0"/>
            </w:tcBorders>
            <w:shd w:val="clear"/>
            <w:vAlign w:val="center"/>
          </w:tcPr>
          <w:p w14:paraId="59EB5B3E">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14:paraId="723C20CD">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14:paraId="068A52E1">
      <w:pPr>
        <w:rPr>
          <w:rFonts w:ascii="仿宋_GB2312" w:hAnsi="Segoe UI" w:eastAsia="仿宋_GB2312" w:cs="Segoe UI"/>
          <w:b/>
          <w:bCs/>
          <w:color w:val="auto"/>
          <w:kern w:val="0"/>
          <w:sz w:val="28"/>
          <w:szCs w:val="28"/>
        </w:rPr>
      </w:pPr>
    </w:p>
    <w:p w14:paraId="57173A0A">
      <w:pPr>
        <w:pStyle w:val="13"/>
        <w:rPr>
          <w:color w:val="auto"/>
        </w:rPr>
      </w:pPr>
    </w:p>
    <w:p w14:paraId="7B2554E4">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14:paraId="1946E5E8">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14:paraId="40F09DD8">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14:paraId="0EFB1103">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14:paraId="35051D88">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14:paraId="778E15AA">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14:paraId="5B2A27CF">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14:paraId="76B6C68B">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14:paraId="044F26C0">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14:paraId="031A4DEC">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14:paraId="025CD526">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14:paraId="5B42F355">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14:paraId="11CC0338">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14:paraId="4E3DF138">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14:paraId="7F61952F">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14:paraId="6D1C4F13">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14:paraId="7EDEB026">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14:paraId="064C1A76">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14:paraId="707D92C0">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14:paraId="5C56C935">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14:paraId="18A19FDF">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14:paraId="425A19A0">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14:paraId="40ABB275">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14:paraId="0523F706">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14:paraId="119B2F6B">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14:paraId="1B310E01">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14:paraId="64A0640B">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14:paraId="6A006CE3">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14:paraId="69A79285">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14:paraId="51E15152">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14:paraId="0D92A0C7">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E1F514">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82EF71">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2434FC">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61D2EE">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14:paraId="78DE7BA7">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A807332">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45F52F5">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58CE7F95">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754A738D">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165D500E">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1AB27AE">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086DC3C8">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62F0AB80">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54E9BCE4">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14:paraId="224AD84B">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14:paraId="689A5F12">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14:paraId="7470907F">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14:paraId="0CC6975B">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14:paraId="68C3F039">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14:paraId="75368B1E">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14:paraId="7C78F098">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14:paraId="2EC3B016">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553346C6">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4925C0">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BBBD1F">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EFA8D4">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273D8E">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21E064">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14:paraId="6E866386">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6A170DE">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ACAFD0">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587D17">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C2F143">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BEF693">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625F8D69">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2D43BB3">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C20F80">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BCA21C">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F6701">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F62996">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6173C868">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0F53DD">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11A492">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68D64">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099AB">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93FBA4">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65DFEDE3">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1B447F">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4B8D07">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192F00">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CC1EA4">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84365">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38F14FDD">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0EFC54B">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76A7B">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8E535D">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29E27">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9797D">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32424F64">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8474B8">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29597E">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A0BF4">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B89788">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D6C67C">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426DC10F">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B7D1EEA">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57B694">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0D6E5">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038CBD">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C520C">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14:paraId="53FDFF0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9461BCF">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AC843B">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554057">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C5453F">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36E44C">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14:paraId="19C58463">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14:paraId="633CB46A">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14:paraId="4498CB3E">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14:paraId="57E937E9">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14:paraId="2CA3D5ED">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14:paraId="24B09F9D">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14:paraId="5DC4F3A5">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C20C2A">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604E40">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14:paraId="6019531F">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08BC71">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81E27E">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3611AA">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14:paraId="4728F710">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1BC0FCC8">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14:paraId="666739BF">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14:paraId="62F5B561">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14:paraId="6E577395">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7D9452">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647FEC">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23C04C">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97AE2C">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EA3C1">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14:paraId="1C6E305E">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7F654C29">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14:paraId="15CF71A5">
            <w:pPr>
              <w:widowControl/>
              <w:wordWrap w:val="0"/>
              <w:jc w:val="center"/>
              <w:rPr>
                <w:rFonts w:ascii="Segoe UI" w:hAnsi="Segoe UI" w:eastAsia="宋体" w:cs="Segoe UI"/>
                <w:color w:val="auto"/>
                <w:kern w:val="0"/>
                <w:sz w:val="18"/>
                <w:szCs w:val="18"/>
              </w:rPr>
            </w:pPr>
          </w:p>
        </w:tc>
      </w:tr>
      <w:tr w14:paraId="36DCB5C5">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EDC156">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4AE1CF">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AB5E02">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7352D7">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30C357">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14:paraId="217B58D0">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440188D4">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14:paraId="4B9DE2A7">
            <w:pPr>
              <w:widowControl/>
              <w:wordWrap w:val="0"/>
              <w:jc w:val="center"/>
              <w:rPr>
                <w:rFonts w:ascii="Segoe UI" w:hAnsi="Segoe UI" w:eastAsia="宋体" w:cs="Segoe UI"/>
                <w:color w:val="auto"/>
                <w:kern w:val="0"/>
                <w:sz w:val="18"/>
                <w:szCs w:val="18"/>
              </w:rPr>
            </w:pPr>
          </w:p>
        </w:tc>
      </w:tr>
      <w:tr w14:paraId="22E58B4B">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6B6ECB11">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14:paraId="0095C8F2">
            <w:pPr>
              <w:widowControl/>
              <w:wordWrap w:val="0"/>
              <w:jc w:val="center"/>
              <w:rPr>
                <w:rFonts w:ascii="Segoe UI" w:hAnsi="Segoe UI" w:eastAsia="宋体" w:cs="Segoe UI"/>
                <w:color w:val="auto"/>
                <w:kern w:val="0"/>
                <w:sz w:val="18"/>
                <w:szCs w:val="18"/>
              </w:rPr>
            </w:pPr>
          </w:p>
        </w:tc>
      </w:tr>
    </w:tbl>
    <w:p w14:paraId="4201170D">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14:paraId="25C24E98">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14:paraId="21DB2F23">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14:paraId="2F229EA7">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14:paraId="1ACB1EF2">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14:paraId="564CC7FD">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14:paraId="06CE1ACA">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14:paraId="6FB0693C">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14:paraId="6081F250">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14:paraId="63CD0780">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14:paraId="38C2243E">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14:paraId="5832F2CD">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14:paraId="61034D22">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14:paraId="6DA970CE">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14:paraId="106224B1">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14:paraId="7F055D96">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14:paraId="219075FC">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14:paraId="17E710B2">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14:paraId="5ECCC531">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14:paraId="7C7FC218">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14:paraId="5E6E7665">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14:paraId="799726B7">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14:paraId="42E293B7">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0D18D65">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3EA5EE10">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14:paraId="59C89E88">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14:paraId="16FB4EAE">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14:paraId="69032F7B">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14:paraId="3F237D3C">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14:paraId="329AA680">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14:paraId="165E4599">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14:paraId="72C152DF">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49095333">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14:paraId="4893E23E">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14:paraId="78427557">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14:paraId="0959A1A7">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15B6B14">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14:paraId="6E079E91">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14:paraId="401937CF">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14:paraId="24FF806E">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14:paraId="79287608">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14:paraId="65EA7082">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14:paraId="62824B66">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14:paraId="0322C734">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14:paraId="26E90202">
      <w:pPr>
        <w:pStyle w:val="4"/>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14:paraId="6B977625">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14:paraId="6A99520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14:paraId="62AA6212">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14:paraId="4B783370">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14:paraId="3F8EA67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14:paraId="153C70F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14:paraId="1A687903">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14:paraId="3051F2D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14:paraId="653C7AE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14:paraId="3F415A5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14:paraId="7145D0C2">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14:paraId="18772AF9">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6BED29D0">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133F9D3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14:paraId="4C3537D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14:paraId="0103623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14:paraId="54EAEC6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43A51D6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2A703BA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0405F05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04AACC4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34903B4F">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14:paraId="23176F8C">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2FCB03A4">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5D14431A">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208A9C87">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66470C4A">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137B7E73">
      <w:pPr>
        <w:widowControl/>
        <w:shd w:val="clear" w:color="auto" w:fill="FFFFFF"/>
        <w:wordWrap w:val="0"/>
        <w:ind w:left="-850" w:leftChars="-405"/>
        <w:jc w:val="left"/>
        <w:rPr>
          <w:rFonts w:ascii="微软雅黑" w:hAnsi="微软雅黑" w:eastAsia="微软雅黑" w:cs="Segoe UI"/>
          <w:bCs/>
          <w:color w:val="auto"/>
          <w:kern w:val="0"/>
          <w:sz w:val="28"/>
          <w:szCs w:val="28"/>
        </w:rPr>
      </w:pPr>
    </w:p>
    <w:p w14:paraId="761900B9">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14:paraId="3C40D4C9">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14:paraId="44758F41">
      <w:pPr>
        <w:jc w:val="center"/>
        <w:rPr>
          <w:rFonts w:ascii="Times New Roman" w:hAnsi="Times New Roman" w:cs="Times New Roman"/>
          <w:color w:val="auto"/>
          <w:kern w:val="0"/>
          <w:sz w:val="28"/>
          <w:szCs w:val="28"/>
        </w:rPr>
      </w:pPr>
    </w:p>
    <w:p w14:paraId="35B1260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14:paraId="726AB63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14:paraId="055466A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14:paraId="4E198B40">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14:paraId="0D2383C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14:paraId="188BDCA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14:paraId="6E47331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14:paraId="0C987D40">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14:paraId="62D23BF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14:paraId="0DCA832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14:paraId="10BBB70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14:paraId="51D63F1A">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14:paraId="08EE1F5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14:paraId="12684D0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35729A23">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0FC468A8">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06EE5DD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14:paraId="1B8AFF2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14:paraId="5611E5D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14:paraId="578085AE">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14:paraId="0311BA9B">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14:paraId="12AD69A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14:paraId="2CBC10C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14:paraId="37E5F29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584169D5">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14:paraId="3784F043">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2F464E8"/>
    <w:rsid w:val="25933A00"/>
    <w:rsid w:val="2B742A3A"/>
    <w:rsid w:val="31FB7325"/>
    <w:rsid w:val="3459137F"/>
    <w:rsid w:val="351D2E6B"/>
    <w:rsid w:val="35E40AE0"/>
    <w:rsid w:val="368F2498"/>
    <w:rsid w:val="375C3E0F"/>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1200"/>
    </w:pPr>
    <w:rPr>
      <w:rFonts w:ascii="Calibri"/>
    </w:rPr>
  </w:style>
  <w:style w:type="paragraph" w:styleId="4">
    <w:name w:val="Body Text"/>
    <w:basedOn w:val="1"/>
    <w:next w:val="1"/>
    <w:link w:val="17"/>
    <w:unhideWhenUsed/>
    <w:qFormat/>
    <w:uiPriority w:val="99"/>
    <w:pPr>
      <w:spacing w:after="120"/>
    </w:pPr>
    <w:rPr>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2"/>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4"/>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11</TotalTime>
  <ScaleCrop>false</ScaleCrop>
  <LinksUpToDate>false</LinksUpToDate>
  <CharactersWithSpaces>3869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褚晨</cp:lastModifiedBy>
  <cp:lastPrinted>2024-05-30T00:54:00Z</cp:lastPrinted>
  <dcterms:modified xsi:type="dcterms:W3CDTF">2025-02-25T08:28:12Z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