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四川省妇幼保健院单人、家系全外检测（产诊方向）外送检测及验证服务的市场调研公示</w:t>
      </w:r>
    </w:p>
    <w:p>
      <w:pPr>
        <w:pStyle w:val="6"/>
        <w:widowControl/>
        <w:spacing w:beforeAutospacing="0" w:after="135" w:afterAutospacing="0" w:line="27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各潜在供应商：</w:t>
      </w:r>
    </w:p>
    <w:p>
      <w:pPr>
        <w:pStyle w:val="6"/>
        <w:widowControl/>
        <w:spacing w:beforeAutospacing="0" w:after="135" w:afterAutospacing="0" w:line="27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我院拟遴选第三方合作，对需要进行单人、家系全外检测（产诊方向）外送检测及验证服务的患者提供服务，现进行市场调研，欢迎资质合格具备相应服务能力的潜在供应商积极参与。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一、项目名称：单人、家系全外检测（产诊方向）外送检测及验证服务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二、本市场调研项目在“四川妇幼保健院官方网站”主页(http:∥www.fybj.net)上公开发布（提供免费下载），供符合条件的潜在供应商前来参加产品市场调研。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三、市场调研期限：挂网之日起-2025年2月21日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四、市场调研项目明细（见附件）。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五、提供真实齐全的资质证明文件一份（保证所提供的各种材料和证明材料的真实性，承担相应的法律责任。提供的所有资料须加盖鲜章）。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特别申明：现公示的功能需求、配置及技术性能因市场了解的局限性，仅作为医院市场调研参考使用，无任何针对性，如有不全之处，敬请理解，并请参与单位详实介绍，最终需求以遴选时为准。市场项目调研书的内容包括但不限于我院公示的参数需求，请各潜在供应商自行提供。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六、市场调研书的递交：于2025年2月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日17：00前一式一份送交四川省妇幼保健院医务部（门诊部）办公室（门诊楼一楼）。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地址：成都市武侯区沙堰西二街290号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联系人：钟老师           电话：028-65978228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附件：四川省妇幼保健院遴选关于单人、家系全外检测（产诊方向）外送检测及验证服务的市场调研项目明细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附件:</w:t>
      </w:r>
    </w:p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bidi="ar"/>
        </w:rPr>
        <w:t>四川省妇幼保健院遴选关于单人、家系全外检测（产诊方向）外送检测及验证服务的市场调研 项目明细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体要求：与遴选的第三方医学检测机构合作，由第三方医学检测机构提供单人、家系全外检测（产诊方向）外送检测及验证服务检测技术服务，出具第三方检测报告；我院进行临床咨询、样本采集、收费、临床诊断。共同为患者提供遗传病诊断与治疗服务。</w:t>
      </w:r>
    </w:p>
    <w:p>
      <w:pPr>
        <w:spacing w:line="360" w:lineRule="auto"/>
        <w:ind w:firstLine="42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项目名称：单人、家系全外检测（产诊方向）外送检测及验证服务</w:t>
      </w:r>
    </w:p>
    <w:p>
      <w:pPr>
        <w:pStyle w:val="6"/>
        <w:widowControl/>
        <w:shd w:val="clear" w:color="auto" w:fill="FFFFFF"/>
        <w:wordWrap w:val="0"/>
        <w:spacing w:beforeAutospacing="0" w:afterAutospacing="0" w:line="500" w:lineRule="atLeast"/>
        <w:ind w:firstLine="640" w:firstLineChars="200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一、市场调研书制作</w:t>
      </w:r>
    </w:p>
    <w:p>
      <w:pPr>
        <w:pStyle w:val="6"/>
        <w:widowControl/>
        <w:shd w:val="clear" w:color="auto" w:fill="FFFFFF"/>
        <w:wordWrap w:val="0"/>
        <w:spacing w:beforeAutospacing="0" w:afterAutospacing="0" w:line="500" w:lineRule="atLeast"/>
        <w:ind w:firstLine="640" w:firstLineChars="200"/>
        <w:rPr>
          <w:rFonts w:ascii="Segoe UI" w:hAnsi="Segoe UI" w:eastAsia="仿宋_GB2312" w:cs="Segoe UI"/>
          <w:color w:val="333333"/>
          <w:sz w:val="12"/>
          <w:szCs w:val="12"/>
        </w:rPr>
      </w:pPr>
      <w:r>
        <w:rPr>
          <w:rFonts w:hint="eastAsia"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按以下顺序</w:t>
      </w:r>
      <w:r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提供</w:t>
      </w:r>
      <w:r>
        <w:rPr>
          <w:rFonts w:hint="eastAsia"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并</w:t>
      </w:r>
      <w:r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装订</w:t>
      </w:r>
      <w:r>
        <w:rPr>
          <w:rFonts w:hint="eastAsia"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市场调研书一份。应</w:t>
      </w:r>
      <w:r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保证所提供的各种材料和证明材料的真实性，承担相应的法律责任</w:t>
      </w:r>
      <w:r>
        <w:rPr>
          <w:rFonts w:hint="eastAsia"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。</w:t>
      </w:r>
    </w:p>
    <w:p>
      <w:pPr>
        <w:pStyle w:val="6"/>
        <w:widowControl/>
        <w:shd w:val="clear" w:color="auto" w:fill="FFFFFF"/>
        <w:wordWrap w:val="0"/>
        <w:spacing w:beforeAutospacing="0" w:afterAutospacing="0" w:line="500" w:lineRule="atLeast"/>
        <w:ind w:firstLine="640" w:firstLineChars="200"/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1</w:t>
      </w:r>
      <w:r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.封面（注明产品名称、产品序号、公司名称、联系人、联系电话、加盖公司印章）</w:t>
      </w:r>
      <w:r>
        <w:rPr>
          <w:rFonts w:hint="eastAsia"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；</w:t>
      </w:r>
    </w:p>
    <w:p>
      <w:pPr>
        <w:pStyle w:val="6"/>
        <w:widowControl/>
        <w:shd w:val="clear" w:color="auto" w:fill="FFFFFF"/>
        <w:wordWrap w:val="0"/>
        <w:spacing w:beforeAutospacing="0" w:afterAutospacing="0" w:line="500" w:lineRule="atLeast"/>
        <w:ind w:firstLine="640" w:firstLineChars="200"/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2</w:t>
      </w:r>
      <w:r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.营业执照（经有效年检，副本）</w:t>
      </w:r>
      <w:r>
        <w:rPr>
          <w:rFonts w:hint="eastAsia"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；</w:t>
      </w:r>
    </w:p>
    <w:p>
      <w:pPr>
        <w:pStyle w:val="6"/>
        <w:widowControl/>
        <w:shd w:val="clear" w:color="auto" w:fill="FFFFFF"/>
        <w:wordWrap w:val="0"/>
        <w:spacing w:beforeAutospacing="0" w:afterAutospacing="0" w:line="500" w:lineRule="atLeast"/>
        <w:ind w:firstLine="640" w:firstLineChars="200"/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3.代理产品授权委托书</w:t>
      </w:r>
      <w:r>
        <w:rPr>
          <w:rFonts w:hint="eastAsia"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；</w:t>
      </w:r>
    </w:p>
    <w:p>
      <w:pPr>
        <w:pStyle w:val="6"/>
        <w:widowControl/>
        <w:shd w:val="clear" w:color="auto" w:fill="FFFFFF"/>
        <w:wordWrap w:val="0"/>
        <w:spacing w:beforeAutospacing="0" w:afterAutospacing="0" w:line="500" w:lineRule="atLeast"/>
        <w:ind w:firstLine="640" w:firstLineChars="200"/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4</w:t>
      </w:r>
      <w:r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.经办人授权委托书</w:t>
      </w:r>
      <w:r>
        <w:rPr>
          <w:rFonts w:hint="eastAsia"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；</w:t>
      </w:r>
    </w:p>
    <w:p>
      <w:pPr>
        <w:pStyle w:val="6"/>
        <w:widowControl/>
        <w:shd w:val="clear" w:color="auto" w:fill="FFFFFF"/>
        <w:wordWrap w:val="0"/>
        <w:spacing w:beforeAutospacing="0" w:afterAutospacing="0" w:line="500" w:lineRule="atLeast"/>
        <w:ind w:firstLine="640" w:firstLineChars="200"/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5</w:t>
      </w:r>
      <w:r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.报价一览表（格式见附件2）</w:t>
      </w:r>
      <w:r>
        <w:rPr>
          <w:rFonts w:hint="eastAsia"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；</w:t>
      </w:r>
    </w:p>
    <w:p>
      <w:pPr>
        <w:pStyle w:val="6"/>
        <w:widowControl/>
        <w:shd w:val="clear" w:color="auto" w:fill="FFFFFF"/>
        <w:wordWrap w:val="0"/>
        <w:spacing w:beforeAutospacing="0" w:afterAutospacing="0" w:line="500" w:lineRule="atLeast"/>
        <w:ind w:firstLine="640" w:firstLineChars="200"/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6.</w:t>
      </w:r>
      <w:r>
        <w:rPr>
          <w:rFonts w:hint="eastAsia"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服务</w:t>
      </w:r>
      <w:r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技术参数、产品说明书或</w:t>
      </w:r>
      <w:r>
        <w:rPr>
          <w:rFonts w:hint="eastAsia"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其它相关</w:t>
      </w:r>
      <w:r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的产品彩页资料和其他有关介绍资料</w:t>
      </w:r>
      <w:r>
        <w:rPr>
          <w:rFonts w:hint="eastAsia"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；</w:t>
      </w:r>
    </w:p>
    <w:p>
      <w:pPr>
        <w:pStyle w:val="6"/>
        <w:widowControl/>
        <w:shd w:val="clear" w:color="auto" w:fill="FFFFFF"/>
        <w:wordWrap w:val="0"/>
        <w:spacing w:beforeAutospacing="0" w:afterAutospacing="0" w:line="500" w:lineRule="atLeast"/>
        <w:ind w:firstLine="640" w:firstLineChars="200"/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7</w:t>
      </w:r>
      <w:r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.</w:t>
      </w:r>
      <w:r>
        <w:rPr>
          <w:rFonts w:hint="eastAsia"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已提供服务情况一览表。</w:t>
      </w:r>
    </w:p>
    <w:p>
      <w:pPr>
        <w:pStyle w:val="6"/>
        <w:widowControl/>
        <w:shd w:val="clear" w:color="auto" w:fill="FFFFFF"/>
        <w:wordWrap w:val="0"/>
        <w:spacing w:beforeAutospacing="0" w:afterAutospacing="0" w:line="500" w:lineRule="atLeast"/>
        <w:ind w:left="851"/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6"/>
        <w:widowControl/>
        <w:shd w:val="clear" w:color="auto" w:fill="FFFFFF"/>
        <w:wordWrap w:val="0"/>
        <w:spacing w:beforeAutospacing="0" w:afterAutospacing="0" w:line="500" w:lineRule="atLeast"/>
        <w:ind w:firstLine="560" w:firstLineChars="200"/>
        <w:rPr>
          <w:rFonts w:ascii="Segoe UI" w:hAnsi="Segoe UI" w:eastAsia="Segoe UI" w:cs="Segoe UI"/>
          <w:color w:val="333333"/>
          <w:sz w:val="11"/>
          <w:szCs w:val="11"/>
        </w:rPr>
      </w:pPr>
      <w:r>
        <w:rPr>
          <w:rFonts w:hint="eastAsia" w:ascii="仿宋_GB2312" w:hAnsi="Segoe UI" w:eastAsia="仿宋_GB2312" w:cs="仿宋_GB2312"/>
          <w:color w:val="333333"/>
          <w:sz w:val="28"/>
          <w:szCs w:val="28"/>
          <w:shd w:val="clear" w:color="auto" w:fill="FFFFFF"/>
        </w:rPr>
        <w:t>注：</w:t>
      </w:r>
      <w:r>
        <w:rPr>
          <w:rFonts w:ascii="仿宋_GB2312" w:hAnsi="Segoe UI" w:eastAsia="仿宋_GB2312" w:cs="仿宋_GB2312"/>
          <w:color w:val="333333"/>
          <w:sz w:val="28"/>
          <w:szCs w:val="28"/>
          <w:shd w:val="clear" w:color="auto" w:fill="FFFFFF"/>
        </w:rPr>
        <w:t>1.根据要求及自身实际用A4纸编制市场调研书，严格按上述装订顺序</w:t>
      </w:r>
      <w:r>
        <w:rPr>
          <w:rFonts w:hint="eastAsia" w:ascii="仿宋_GB2312" w:hAnsi="Segoe UI" w:eastAsia="仿宋_GB2312" w:cs="仿宋_GB2312"/>
          <w:color w:val="333333"/>
          <w:sz w:val="28"/>
          <w:szCs w:val="28"/>
          <w:shd w:val="clear" w:color="auto" w:fill="FFFFFF"/>
        </w:rPr>
        <w:t>装订</w:t>
      </w:r>
      <w:r>
        <w:rPr>
          <w:rFonts w:ascii="仿宋_GB2312" w:hAnsi="Segoe UI" w:eastAsia="仿宋_GB2312" w:cs="仿宋_GB2312"/>
          <w:color w:val="333333"/>
          <w:sz w:val="28"/>
          <w:szCs w:val="28"/>
          <w:shd w:val="clear" w:color="auto" w:fill="FFFFFF"/>
        </w:rPr>
        <w:t>市场调研书，须标注页码，无需密封。</w:t>
      </w:r>
    </w:p>
    <w:p>
      <w:pPr>
        <w:pStyle w:val="6"/>
        <w:widowControl/>
        <w:shd w:val="clear" w:color="auto" w:fill="FFFFFF"/>
        <w:wordWrap w:val="0"/>
        <w:spacing w:beforeAutospacing="0" w:afterAutospacing="0" w:line="500" w:lineRule="atLeast"/>
        <w:ind w:left="620" w:firstLine="560" w:firstLineChars="200"/>
        <w:rPr>
          <w:rFonts w:ascii="Segoe UI" w:hAnsi="Segoe UI" w:eastAsia="Segoe UI" w:cs="Segoe UI"/>
          <w:color w:val="333333"/>
          <w:sz w:val="11"/>
          <w:szCs w:val="11"/>
        </w:rPr>
      </w:pPr>
      <w:r>
        <w:rPr>
          <w:rFonts w:ascii="仿宋_GB2312" w:hAnsi="Segoe UI" w:eastAsia="仿宋_GB2312" w:cs="仿宋_GB2312"/>
          <w:color w:val="333333"/>
          <w:sz w:val="28"/>
          <w:szCs w:val="28"/>
          <w:shd w:val="clear" w:color="auto" w:fill="FFFFFF"/>
        </w:rPr>
        <w:t>2.如有，</w:t>
      </w:r>
      <w:r>
        <w:rPr>
          <w:rFonts w:hint="eastAsia" w:ascii="仿宋_GB2312" w:hAnsi="Segoe UI" w:eastAsia="仿宋_GB2312" w:cs="仿宋_GB2312"/>
          <w:color w:val="333333"/>
          <w:sz w:val="28"/>
          <w:szCs w:val="28"/>
          <w:shd w:val="clear" w:color="auto" w:fill="FFFFFF"/>
        </w:rPr>
        <w:t>请</w:t>
      </w:r>
      <w:r>
        <w:rPr>
          <w:rFonts w:ascii="仿宋_GB2312" w:hAnsi="Segoe UI" w:eastAsia="仿宋_GB2312" w:cs="仿宋_GB2312"/>
          <w:color w:val="333333"/>
          <w:sz w:val="28"/>
          <w:szCs w:val="28"/>
          <w:shd w:val="clear" w:color="auto" w:fill="FFFFFF"/>
        </w:rPr>
        <w:t>提供相关的产品技术资料（如：出厂检验合格证书、技术说明书、等完整的技术资料等）。</w:t>
      </w:r>
    </w:p>
    <w:p>
      <w:pPr>
        <w:pStyle w:val="6"/>
        <w:widowControl/>
        <w:shd w:val="clear" w:color="auto" w:fill="FFFFFF"/>
        <w:wordWrap w:val="0"/>
        <w:spacing w:beforeAutospacing="0" w:afterAutospacing="0" w:line="500" w:lineRule="atLeast"/>
        <w:ind w:left="620" w:firstLine="560" w:firstLineChars="200"/>
        <w:rPr>
          <w:rFonts w:ascii="Segoe UI" w:hAnsi="Segoe UI" w:eastAsia="Segoe UI" w:cs="Segoe UI"/>
          <w:color w:val="333333"/>
          <w:sz w:val="11"/>
          <w:szCs w:val="11"/>
        </w:rPr>
      </w:pPr>
      <w:r>
        <w:rPr>
          <w:rFonts w:ascii="仿宋_GB2312" w:hAnsi="Segoe UI" w:eastAsia="仿宋_GB2312" w:cs="仿宋_GB2312"/>
          <w:color w:val="333333"/>
          <w:sz w:val="28"/>
          <w:szCs w:val="28"/>
          <w:shd w:val="clear" w:color="auto" w:fill="FFFFFF"/>
        </w:rPr>
        <w:t>3.提供的所有资料须加盖鲜章。</w:t>
      </w:r>
    </w:p>
    <w:p>
      <w:pPr>
        <w:pStyle w:val="6"/>
        <w:widowControl/>
        <w:shd w:val="clear" w:color="auto" w:fill="FFFFFF"/>
        <w:wordWrap w:val="0"/>
        <w:spacing w:beforeAutospacing="0" w:afterAutospacing="0" w:line="500" w:lineRule="atLeast"/>
        <w:ind w:left="851"/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6"/>
        <w:widowControl/>
        <w:numPr>
          <w:ilvl w:val="0"/>
          <w:numId w:val="1"/>
        </w:numPr>
        <w:shd w:val="clear" w:color="auto" w:fill="FFFFFF"/>
        <w:wordWrap w:val="0"/>
        <w:spacing w:beforeAutospacing="0" w:afterAutospacing="0" w:line="500" w:lineRule="atLeast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  <w:t>报价要求</w:t>
      </w:r>
    </w:p>
    <w:p>
      <w:pPr>
        <w:pStyle w:val="6"/>
        <w:widowControl/>
        <w:shd w:val="clear" w:color="auto" w:fill="FFFFFF"/>
        <w:wordWrap w:val="0"/>
        <w:spacing w:beforeAutospacing="0" w:afterAutospacing="0" w:line="500" w:lineRule="atLeast"/>
        <w:ind w:firstLine="640" w:firstLineChars="200"/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1.报价表中的价格应</w:t>
      </w:r>
      <w:r>
        <w:rPr>
          <w:rFonts w:hint="eastAsia"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包括符合所有技术与商务要求的测序、分析及其它伴随服务等所有费用。</w:t>
      </w:r>
    </w:p>
    <w:p>
      <w:pPr>
        <w:pStyle w:val="6"/>
        <w:widowControl/>
        <w:shd w:val="clear" w:color="auto" w:fill="FFFFFF"/>
        <w:wordWrap w:val="0"/>
        <w:spacing w:beforeAutospacing="0" w:afterAutospacing="0" w:line="500" w:lineRule="atLeast"/>
        <w:ind w:firstLine="640" w:firstLineChars="200"/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2.可提供多种备选产品，分别报价，并分别说明性能、配置及技术参数</w:t>
      </w:r>
      <w:r>
        <w:rPr>
          <w:rFonts w:hint="eastAsia" w:ascii="仿宋_GB2312" w:hAnsi="Segoe UI" w:eastAsia="仿宋_GB2312" w:cs="仿宋_GB2312"/>
          <w:color w:val="333333"/>
          <w:sz w:val="32"/>
          <w:szCs w:val="32"/>
          <w:shd w:val="clear" w:color="auto" w:fill="FFFFFF"/>
        </w:rPr>
        <w:t>。</w:t>
      </w:r>
    </w:p>
    <w:p>
      <w:pPr>
        <w:pStyle w:val="6"/>
        <w:widowControl/>
        <w:shd w:val="clear" w:color="auto" w:fill="FFFFFF"/>
        <w:wordWrap w:val="0"/>
        <w:spacing w:beforeAutospacing="0" w:afterAutospacing="0" w:line="500" w:lineRule="atLeast"/>
        <w:ind w:firstLine="420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三、技术要求：</w:t>
      </w:r>
    </w:p>
    <w:p>
      <w:pPr>
        <w:spacing w:line="360" w:lineRule="auto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全外显子测序产品的目标区域至少包括人类2万个以上功能基因的CDS区域和线粒体基因组序列，试剂盒捕获目标区域不小于36M，需提供目标区域的bed文件。检测的突变类型包括SNV，InDel，SV，CNV等突变。</w:t>
      </w:r>
    </w:p>
    <w:p>
      <w:pPr>
        <w:spacing w:line="360" w:lineRule="auto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每个样本全外显子测序数据总量不低于10G(base)，外显子区域的平均测序深度不低于100X，线粒体基因组的平均测序深度不低于2000X，外显子区域20x测序深度的百分比不低于97%。测序数据Q30的百分比&gt;90%，测序数据的碱基类型分布均匀，无明显GC分离（40%-55%）。</w:t>
      </w:r>
    </w:p>
    <w:p>
      <w:pPr>
        <w:spacing w:line="360" w:lineRule="auto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 供应商提供基因变异在线分析平台。进行生信分析所用的数据库包括公共数据库（ClinVar, OMIM, ExAc，HGMD，dbSNP等）和供应商自有中国人群数据库样本量（患者和正常人）。</w:t>
      </w:r>
    </w:p>
    <w:p>
      <w:pPr>
        <w:spacing w:line="360" w:lineRule="auto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全外显子测序项目的检测过程具备完整的质控方案，保证测序数据质量，检测结果的准确性和可靠性。</w:t>
      </w:r>
    </w:p>
    <w:p>
      <w:pPr>
        <w:spacing w:line="360" w:lineRule="auto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全外显子测序项目须保证在供应商的实验室完成检测，不允许转包。 </w:t>
      </w:r>
    </w:p>
    <w:p>
      <w:pPr>
        <w:spacing w:line="360" w:lineRule="auto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投标人具备三代测序平台，可为医院提供三代测序服务。</w:t>
      </w:r>
    </w:p>
    <w:p>
      <w:pPr>
        <w:spacing w:line="360" w:lineRule="auto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分析系统可对有脊髓小脑共济失调等相关基因进行动态突变分析，检出后可进行RP-PCR验证及三代验证。</w:t>
      </w:r>
    </w:p>
    <w:p>
      <w:pPr>
        <w:spacing w:line="360" w:lineRule="auto"/>
        <w:ind w:firstLine="646" w:firstLineChars="202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8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可在全外数据上进行隐性单基因病携筛分析，并出具报告。</w:t>
      </w:r>
    </w:p>
    <w:p>
      <w:pPr>
        <w:spacing w:line="360" w:lineRule="auto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可提供NGS分析后多种变异类型的验证，如一代验证（Sanger测序）、MLPA、Q-PCR、三代单病检测（地贫、CAH等）。</w:t>
      </w:r>
    </w:p>
    <w:p>
      <w:pPr>
        <w:spacing w:line="360" w:lineRule="auto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一代验证：对于检测阳性的结果提供先证者及父母的一代验证，费用由投标人承担。</w:t>
      </w:r>
    </w:p>
    <w:p>
      <w:pPr>
        <w:spacing w:line="360" w:lineRule="auto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.针对全外显子测序检测阳性且临床认可的变异，若该家系在招标人院内再次生育进行产前诊断时，需提供相关验证用测序引物和探针，与招标人产前诊断科分别同时进行该变异的羊水sanger或QPCR验证工作。</w:t>
      </w:r>
    </w:p>
    <w:p>
      <w:pPr>
        <w:spacing w:line="360" w:lineRule="auto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配合医院进行后期样本回溯，样本按要求存储周期为半年，每半年返回样本一次。如招标人实验室存在场地限制，投标人实验室平台应为招标人实验室提供长期储存样本服务，招标人不再额外支付费用。</w:t>
      </w:r>
    </w:p>
    <w:p>
      <w:pPr>
        <w:spacing w:line="360" w:lineRule="auto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.送检项目：</w:t>
      </w:r>
    </w:p>
    <w:tbl>
      <w:tblPr>
        <w:tblStyle w:val="7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781"/>
        <w:gridCol w:w="2268"/>
        <w:gridCol w:w="1417"/>
        <w:gridCol w:w="851"/>
        <w:gridCol w:w="992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6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序号</w:t>
            </w:r>
          </w:p>
        </w:tc>
        <w:tc>
          <w:tcPr>
            <w:tcW w:w="404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项目名称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单例最高价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（元/例）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是否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进口</w:t>
            </w: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服务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期限</w:t>
            </w:r>
          </w:p>
        </w:tc>
        <w:tc>
          <w:tcPr>
            <w:tcW w:w="1211" w:type="dxa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检测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766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81" w:type="dxa"/>
            <w:vMerge w:val="restart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单人、家系全外检测（产诊方向）外送检测及验证服务</w:t>
            </w:r>
          </w:p>
        </w:tc>
        <w:tc>
          <w:tcPr>
            <w:tcW w:w="2268" w:type="dxa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单人全外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992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3年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家系全外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992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3年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ascii="宋体" w:hAnsi="宋体" w:cs="宋体"/>
                <w:bCs/>
                <w:sz w:val="24"/>
                <w:lang w:val="en-GB"/>
              </w:rPr>
            </w:pPr>
            <w:r>
              <w:rPr>
                <w:rFonts w:hint="eastAsia" w:ascii="宋体" w:hAnsi="宋体" w:cs="宋体"/>
                <w:bCs/>
                <w:sz w:val="24"/>
                <w:lang w:val="en-GB"/>
              </w:rPr>
              <w:t>一代验证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exact"/>
              <w:jc w:val="both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992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3年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ascii="宋体" w:hAnsi="宋体" w:cs="宋体"/>
                <w:bCs/>
                <w:sz w:val="24"/>
                <w:lang w:val="en-GB"/>
              </w:rPr>
            </w:pPr>
            <w:r>
              <w:rPr>
                <w:rFonts w:hint="eastAsia" w:ascii="宋体" w:hAnsi="宋体" w:cs="宋体"/>
                <w:bCs/>
                <w:sz w:val="24"/>
                <w:lang w:val="en-GB"/>
              </w:rPr>
              <w:t>CNV-seq验证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992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3年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ascii="宋体" w:hAnsi="宋体" w:cs="宋体"/>
                <w:bCs/>
                <w:sz w:val="24"/>
                <w:lang w:val="en-GB"/>
              </w:rPr>
            </w:pPr>
            <w:r>
              <w:rPr>
                <w:rFonts w:hint="eastAsia" w:ascii="宋体" w:hAnsi="宋体" w:cs="宋体"/>
                <w:bCs/>
                <w:sz w:val="24"/>
                <w:lang w:val="en-GB"/>
              </w:rPr>
              <w:t>高通量数据重分析平台使用费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992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3年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ascii="宋体" w:hAnsi="宋体" w:cs="宋体"/>
                <w:bCs/>
                <w:sz w:val="24"/>
                <w:lang w:val="en-GB"/>
              </w:rPr>
            </w:pPr>
            <w:r>
              <w:rPr>
                <w:rFonts w:hint="eastAsia" w:ascii="宋体" w:hAnsi="宋体" w:cs="宋体"/>
                <w:bCs/>
                <w:sz w:val="24"/>
                <w:lang w:val="en-GB"/>
              </w:rPr>
              <w:t>隐性单基因病携筛（临床全外解读版）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992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3年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三代地中海贫血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992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3年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三代CAH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992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3年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三代SMA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992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3年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三代FXS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992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3年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三代血友病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992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3年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66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"/>
              <w:spacing w:line="500" w:lineRule="exact"/>
              <w:ind w:firstLine="0" w:firstLineChars="0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三代多囊肾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992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3年</w:t>
            </w:r>
          </w:p>
        </w:tc>
        <w:tc>
          <w:tcPr>
            <w:tcW w:w="1211" w:type="dxa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个工作日</w:t>
            </w:r>
          </w:p>
        </w:tc>
      </w:tr>
    </w:tbl>
    <w:p>
      <w:pPr>
        <w:spacing w:line="360" w:lineRule="auto"/>
      </w:pPr>
      <w:r>
        <w:rPr>
          <w:rFonts w:hint="eastAsia" w:ascii="宋体" w:hAnsi="宋体" w:eastAsia="宋体" w:cs="Times New Roman"/>
          <w:kern w:val="0"/>
          <w:szCs w:val="21"/>
        </w:rPr>
        <w:t>备注：请各潜在供应商对送检项目的检测</w:t>
      </w:r>
      <w:bookmarkStart w:id="0" w:name="_GoBack"/>
      <w:bookmarkEnd w:id="0"/>
      <w:r>
        <w:rPr>
          <w:rFonts w:hint="eastAsia" w:ascii="宋体" w:hAnsi="宋体" w:eastAsia="宋体" w:cs="Times New Roman"/>
          <w:kern w:val="0"/>
          <w:szCs w:val="21"/>
        </w:rPr>
        <w:t>服务价格进行报价。</w:t>
      </w:r>
      <w:r>
        <w:rPr>
          <w:rFonts w:hint="eastAsia"/>
          <w:sz w:val="28"/>
        </w:rPr>
        <w:t xml:space="preserve">                                               </w:t>
      </w:r>
    </w:p>
    <w:sectPr>
      <w:pgSz w:w="11907" w:h="16839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387A"/>
    <w:multiLevelType w:val="multilevel"/>
    <w:tmpl w:val="0F72387A"/>
    <w:lvl w:ilvl="0" w:tentative="0">
      <w:start w:val="2"/>
      <w:numFmt w:val="japaneseCounting"/>
      <w:lvlText w:val="%1、"/>
      <w:lvlJc w:val="left"/>
      <w:pPr>
        <w:ind w:left="1050" w:hanging="6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E6"/>
    <w:rsid w:val="000250D5"/>
    <w:rsid w:val="00027E48"/>
    <w:rsid w:val="000329B7"/>
    <w:rsid w:val="00033744"/>
    <w:rsid w:val="0004232C"/>
    <w:rsid w:val="0005342A"/>
    <w:rsid w:val="00065B68"/>
    <w:rsid w:val="00065F12"/>
    <w:rsid w:val="00066A10"/>
    <w:rsid w:val="00070FEA"/>
    <w:rsid w:val="00073232"/>
    <w:rsid w:val="00073EB9"/>
    <w:rsid w:val="00077411"/>
    <w:rsid w:val="00090338"/>
    <w:rsid w:val="00094AB7"/>
    <w:rsid w:val="0009610D"/>
    <w:rsid w:val="000B3B5F"/>
    <w:rsid w:val="000B44AA"/>
    <w:rsid w:val="000B7E62"/>
    <w:rsid w:val="000C21E8"/>
    <w:rsid w:val="000D5F10"/>
    <w:rsid w:val="000E2A1F"/>
    <w:rsid w:val="000F4802"/>
    <w:rsid w:val="000F795B"/>
    <w:rsid w:val="00102B64"/>
    <w:rsid w:val="001336DE"/>
    <w:rsid w:val="001416E9"/>
    <w:rsid w:val="00145435"/>
    <w:rsid w:val="001508A9"/>
    <w:rsid w:val="0016681E"/>
    <w:rsid w:val="001671FD"/>
    <w:rsid w:val="001A2DAC"/>
    <w:rsid w:val="001B41A0"/>
    <w:rsid w:val="001B4759"/>
    <w:rsid w:val="001C17BB"/>
    <w:rsid w:val="001C4EE1"/>
    <w:rsid w:val="001E4D98"/>
    <w:rsid w:val="002064AC"/>
    <w:rsid w:val="00210B81"/>
    <w:rsid w:val="002300F9"/>
    <w:rsid w:val="00246DD8"/>
    <w:rsid w:val="002620E0"/>
    <w:rsid w:val="00262AE1"/>
    <w:rsid w:val="00267637"/>
    <w:rsid w:val="00276F95"/>
    <w:rsid w:val="00287BDC"/>
    <w:rsid w:val="002B3ACD"/>
    <w:rsid w:val="002C2DB7"/>
    <w:rsid w:val="002F6B47"/>
    <w:rsid w:val="00304C1F"/>
    <w:rsid w:val="00324E0F"/>
    <w:rsid w:val="00335218"/>
    <w:rsid w:val="00354EC5"/>
    <w:rsid w:val="003610CC"/>
    <w:rsid w:val="003626C5"/>
    <w:rsid w:val="00392947"/>
    <w:rsid w:val="00394105"/>
    <w:rsid w:val="003A4954"/>
    <w:rsid w:val="003A69C4"/>
    <w:rsid w:val="003C1631"/>
    <w:rsid w:val="003C69C5"/>
    <w:rsid w:val="003D55BF"/>
    <w:rsid w:val="003E128B"/>
    <w:rsid w:val="003E2041"/>
    <w:rsid w:val="003E67EA"/>
    <w:rsid w:val="00403A67"/>
    <w:rsid w:val="0043534E"/>
    <w:rsid w:val="00444416"/>
    <w:rsid w:val="004463E0"/>
    <w:rsid w:val="0045634A"/>
    <w:rsid w:val="0046653C"/>
    <w:rsid w:val="00467BE8"/>
    <w:rsid w:val="0047085A"/>
    <w:rsid w:val="00477D6B"/>
    <w:rsid w:val="004A062D"/>
    <w:rsid w:val="004B0B48"/>
    <w:rsid w:val="004B0BF7"/>
    <w:rsid w:val="004B550E"/>
    <w:rsid w:val="004E3BC8"/>
    <w:rsid w:val="004E41E7"/>
    <w:rsid w:val="005005F0"/>
    <w:rsid w:val="005010AE"/>
    <w:rsid w:val="0053187F"/>
    <w:rsid w:val="00545693"/>
    <w:rsid w:val="0058216D"/>
    <w:rsid w:val="005B2252"/>
    <w:rsid w:val="005B695D"/>
    <w:rsid w:val="005B7C9F"/>
    <w:rsid w:val="006079C0"/>
    <w:rsid w:val="00616642"/>
    <w:rsid w:val="00624E5A"/>
    <w:rsid w:val="006276CB"/>
    <w:rsid w:val="006361DC"/>
    <w:rsid w:val="00653C8D"/>
    <w:rsid w:val="00655BBC"/>
    <w:rsid w:val="006564EE"/>
    <w:rsid w:val="0066703D"/>
    <w:rsid w:val="006914B8"/>
    <w:rsid w:val="006930D6"/>
    <w:rsid w:val="006C038D"/>
    <w:rsid w:val="006D16E4"/>
    <w:rsid w:val="006D65A6"/>
    <w:rsid w:val="006E290E"/>
    <w:rsid w:val="006E7306"/>
    <w:rsid w:val="00702E48"/>
    <w:rsid w:val="0072297B"/>
    <w:rsid w:val="0075733F"/>
    <w:rsid w:val="007670B6"/>
    <w:rsid w:val="00792246"/>
    <w:rsid w:val="007B3FA2"/>
    <w:rsid w:val="007C0B41"/>
    <w:rsid w:val="007D21F6"/>
    <w:rsid w:val="007E7F50"/>
    <w:rsid w:val="007F50ED"/>
    <w:rsid w:val="007F555D"/>
    <w:rsid w:val="007F6202"/>
    <w:rsid w:val="00812728"/>
    <w:rsid w:val="00815145"/>
    <w:rsid w:val="00834048"/>
    <w:rsid w:val="00842018"/>
    <w:rsid w:val="0084360C"/>
    <w:rsid w:val="00845D59"/>
    <w:rsid w:val="00845EED"/>
    <w:rsid w:val="0085010F"/>
    <w:rsid w:val="008547EC"/>
    <w:rsid w:val="00856C76"/>
    <w:rsid w:val="00862AE3"/>
    <w:rsid w:val="008635DB"/>
    <w:rsid w:val="008735FF"/>
    <w:rsid w:val="00881E23"/>
    <w:rsid w:val="00896067"/>
    <w:rsid w:val="008A0A28"/>
    <w:rsid w:val="008B0055"/>
    <w:rsid w:val="008B1B87"/>
    <w:rsid w:val="008B3427"/>
    <w:rsid w:val="008F5BAB"/>
    <w:rsid w:val="008F61FA"/>
    <w:rsid w:val="008F7297"/>
    <w:rsid w:val="00907D30"/>
    <w:rsid w:val="009105F2"/>
    <w:rsid w:val="009220D1"/>
    <w:rsid w:val="00925FA8"/>
    <w:rsid w:val="009277D6"/>
    <w:rsid w:val="0093412C"/>
    <w:rsid w:val="00936B6A"/>
    <w:rsid w:val="00937AF6"/>
    <w:rsid w:val="00951F02"/>
    <w:rsid w:val="00955F07"/>
    <w:rsid w:val="0097266C"/>
    <w:rsid w:val="00984194"/>
    <w:rsid w:val="00985054"/>
    <w:rsid w:val="00985FEB"/>
    <w:rsid w:val="00992184"/>
    <w:rsid w:val="009A1F3D"/>
    <w:rsid w:val="009A6001"/>
    <w:rsid w:val="009A65F2"/>
    <w:rsid w:val="009B0BAB"/>
    <w:rsid w:val="009D3E72"/>
    <w:rsid w:val="009D77F4"/>
    <w:rsid w:val="009E673E"/>
    <w:rsid w:val="00A000D6"/>
    <w:rsid w:val="00A0490F"/>
    <w:rsid w:val="00A136C1"/>
    <w:rsid w:val="00A17898"/>
    <w:rsid w:val="00A21CDD"/>
    <w:rsid w:val="00A240F9"/>
    <w:rsid w:val="00A26A75"/>
    <w:rsid w:val="00A26C65"/>
    <w:rsid w:val="00A32B67"/>
    <w:rsid w:val="00A41DF2"/>
    <w:rsid w:val="00A50107"/>
    <w:rsid w:val="00A538D7"/>
    <w:rsid w:val="00A64D0E"/>
    <w:rsid w:val="00A660A4"/>
    <w:rsid w:val="00A93051"/>
    <w:rsid w:val="00A9760D"/>
    <w:rsid w:val="00AA47FB"/>
    <w:rsid w:val="00AE464E"/>
    <w:rsid w:val="00AE52EA"/>
    <w:rsid w:val="00AE5B86"/>
    <w:rsid w:val="00AF5D76"/>
    <w:rsid w:val="00AF5F09"/>
    <w:rsid w:val="00AF78C0"/>
    <w:rsid w:val="00B0026F"/>
    <w:rsid w:val="00B0377A"/>
    <w:rsid w:val="00B07C6F"/>
    <w:rsid w:val="00B11A4B"/>
    <w:rsid w:val="00B16015"/>
    <w:rsid w:val="00B20FC3"/>
    <w:rsid w:val="00B25F21"/>
    <w:rsid w:val="00B32372"/>
    <w:rsid w:val="00B41214"/>
    <w:rsid w:val="00B474CD"/>
    <w:rsid w:val="00B545F2"/>
    <w:rsid w:val="00B61AF8"/>
    <w:rsid w:val="00B71EFA"/>
    <w:rsid w:val="00B76F84"/>
    <w:rsid w:val="00B80E4C"/>
    <w:rsid w:val="00B91FDF"/>
    <w:rsid w:val="00B9268B"/>
    <w:rsid w:val="00BA4CC0"/>
    <w:rsid w:val="00BB5374"/>
    <w:rsid w:val="00BD0025"/>
    <w:rsid w:val="00BD5CFC"/>
    <w:rsid w:val="00BE2D2F"/>
    <w:rsid w:val="00BE41DF"/>
    <w:rsid w:val="00BF449C"/>
    <w:rsid w:val="00BF6965"/>
    <w:rsid w:val="00C01C2C"/>
    <w:rsid w:val="00C216A0"/>
    <w:rsid w:val="00C21FA9"/>
    <w:rsid w:val="00C2303E"/>
    <w:rsid w:val="00C23798"/>
    <w:rsid w:val="00C30B13"/>
    <w:rsid w:val="00C3356E"/>
    <w:rsid w:val="00C40CF1"/>
    <w:rsid w:val="00C4760C"/>
    <w:rsid w:val="00C52210"/>
    <w:rsid w:val="00C56EAF"/>
    <w:rsid w:val="00C740E9"/>
    <w:rsid w:val="00C93BDE"/>
    <w:rsid w:val="00C954B3"/>
    <w:rsid w:val="00C96112"/>
    <w:rsid w:val="00CA6AD3"/>
    <w:rsid w:val="00CB0826"/>
    <w:rsid w:val="00D03FFF"/>
    <w:rsid w:val="00D10B11"/>
    <w:rsid w:val="00D12928"/>
    <w:rsid w:val="00D15332"/>
    <w:rsid w:val="00D469CA"/>
    <w:rsid w:val="00DA0FD8"/>
    <w:rsid w:val="00DA5501"/>
    <w:rsid w:val="00DA6669"/>
    <w:rsid w:val="00DA77E5"/>
    <w:rsid w:val="00DB0EC9"/>
    <w:rsid w:val="00DB60E6"/>
    <w:rsid w:val="00DC656D"/>
    <w:rsid w:val="00DE2CB5"/>
    <w:rsid w:val="00DE54FF"/>
    <w:rsid w:val="00E05CAC"/>
    <w:rsid w:val="00E17ECE"/>
    <w:rsid w:val="00E239D5"/>
    <w:rsid w:val="00E26C7E"/>
    <w:rsid w:val="00E37838"/>
    <w:rsid w:val="00E53B6B"/>
    <w:rsid w:val="00E56373"/>
    <w:rsid w:val="00E5786D"/>
    <w:rsid w:val="00E62BD7"/>
    <w:rsid w:val="00E65986"/>
    <w:rsid w:val="00E736D3"/>
    <w:rsid w:val="00E86299"/>
    <w:rsid w:val="00EC5774"/>
    <w:rsid w:val="00EE7080"/>
    <w:rsid w:val="00EF0D0A"/>
    <w:rsid w:val="00F014A0"/>
    <w:rsid w:val="00F102EF"/>
    <w:rsid w:val="00F109A2"/>
    <w:rsid w:val="00F10DCE"/>
    <w:rsid w:val="00F17778"/>
    <w:rsid w:val="00F31BB8"/>
    <w:rsid w:val="00F33D46"/>
    <w:rsid w:val="00F34806"/>
    <w:rsid w:val="00F426FC"/>
    <w:rsid w:val="00F5063D"/>
    <w:rsid w:val="00F84EAE"/>
    <w:rsid w:val="00F860C2"/>
    <w:rsid w:val="00F920B3"/>
    <w:rsid w:val="00F93697"/>
    <w:rsid w:val="00F96F11"/>
    <w:rsid w:val="00FB4808"/>
    <w:rsid w:val="00FC4CB5"/>
    <w:rsid w:val="00FF2408"/>
    <w:rsid w:val="08C640D7"/>
    <w:rsid w:val="091A3320"/>
    <w:rsid w:val="0AFF16CF"/>
    <w:rsid w:val="11503D8A"/>
    <w:rsid w:val="11FD766B"/>
    <w:rsid w:val="14E500B8"/>
    <w:rsid w:val="195741AB"/>
    <w:rsid w:val="1BA9028E"/>
    <w:rsid w:val="1CB33C89"/>
    <w:rsid w:val="1EEC2A99"/>
    <w:rsid w:val="23D809B4"/>
    <w:rsid w:val="23FD0A45"/>
    <w:rsid w:val="242C64C1"/>
    <w:rsid w:val="25F70C44"/>
    <w:rsid w:val="26065751"/>
    <w:rsid w:val="26523671"/>
    <w:rsid w:val="294D5103"/>
    <w:rsid w:val="2A9F0D97"/>
    <w:rsid w:val="2EE73A80"/>
    <w:rsid w:val="2F4436D6"/>
    <w:rsid w:val="33EF1E1A"/>
    <w:rsid w:val="341F06F9"/>
    <w:rsid w:val="3EFA7F0E"/>
    <w:rsid w:val="3F400E58"/>
    <w:rsid w:val="50F62F70"/>
    <w:rsid w:val="51644084"/>
    <w:rsid w:val="52592C2B"/>
    <w:rsid w:val="559868C4"/>
    <w:rsid w:val="57FD6756"/>
    <w:rsid w:val="584C380D"/>
    <w:rsid w:val="58ED53E7"/>
    <w:rsid w:val="5B0A124F"/>
    <w:rsid w:val="5ED04967"/>
    <w:rsid w:val="61421AEA"/>
    <w:rsid w:val="632722B1"/>
    <w:rsid w:val="681678AC"/>
    <w:rsid w:val="68877541"/>
    <w:rsid w:val="6BB4629A"/>
    <w:rsid w:val="73812448"/>
    <w:rsid w:val="7A4E4384"/>
    <w:rsid w:val="7DB4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Normal Indent"/>
    <w:basedOn w:val="1"/>
    <w:link w:val="16"/>
    <w:qFormat/>
    <w:uiPriority w:val="0"/>
    <w:pPr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rPr>
      <w:rFonts w:ascii="Times New Roman" w:hAnsi="Times New Roman" w:eastAsia="宋体" w:cs="Times New Roman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修订1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修订2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正文缩进 Char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240739-1BBE-476E-BDAE-C4E79BA454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四川省妇幼保健院</Company>
  <Pages>7</Pages>
  <Words>387</Words>
  <Characters>2211</Characters>
  <Lines>18</Lines>
  <Paragraphs>5</Paragraphs>
  <TotalTime>145</TotalTime>
  <ScaleCrop>false</ScaleCrop>
  <LinksUpToDate>false</LinksUpToDate>
  <CharactersWithSpaces>2593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2024-01-26T05:06:00Z</dcterms:created>
  <dc:creator>朱朝霞</dc:creator>
  <cp:lastModifiedBy>钟兆玮</cp:lastModifiedBy>
  <cp:lastPrinted>2018-05-14T03:40:00Z</cp:lastPrinted>
  <dcterms:modified xsi:type="dcterms:W3CDTF">2025-02-12T03:50:33Z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