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C7D6D">
      <w:pPr>
        <w:jc w:val="center"/>
        <w:rPr>
          <w:rFonts w:ascii="Calibri" w:hAnsi="Calibri" w:eastAsia="宋体" w:cs="Times New Roman"/>
          <w:b/>
          <w:color w:val="FF0000"/>
          <w:sz w:val="44"/>
          <w:szCs w:val="44"/>
        </w:rPr>
      </w:pPr>
      <w:r>
        <w:rPr>
          <w:rFonts w:hint="eastAsia" w:ascii="Calibri" w:hAnsi="Calibri" w:eastAsia="宋体" w:cs="Times New Roman"/>
          <w:b/>
          <w:color w:val="FF0000"/>
          <w:sz w:val="48"/>
          <w:szCs w:val="48"/>
        </w:rPr>
        <w:t>四川省妇幼保健院</w:t>
      </w:r>
      <w:r>
        <w:rPr>
          <w:rFonts w:hint="eastAsia" w:ascii="Calibri" w:hAnsi="Calibri" w:eastAsia="宋体" w:cs="Times New Roman"/>
          <w:b/>
          <w:color w:val="FF0000"/>
          <w:sz w:val="48"/>
          <w:szCs w:val="4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FF0000"/>
          <w:sz w:val="48"/>
          <w:szCs w:val="48"/>
        </w:rPr>
        <w:t>四川省妇</w:t>
      </w:r>
      <w:r>
        <w:rPr>
          <w:rFonts w:hint="eastAsia" w:ascii="Calibri" w:hAnsi="Calibri" w:eastAsia="宋体" w:cs="Times New Roman"/>
          <w:b/>
          <w:color w:val="FF0000"/>
          <w:sz w:val="48"/>
          <w:szCs w:val="48"/>
          <w:lang w:val="en-US" w:eastAsia="zh-CN"/>
        </w:rPr>
        <w:t>女儿童医</w:t>
      </w:r>
      <w:r>
        <w:rPr>
          <w:rFonts w:hint="eastAsia" w:ascii="Calibri" w:hAnsi="Calibri" w:eastAsia="宋体" w:cs="Times New Roman"/>
          <w:b/>
          <w:color w:val="FF0000"/>
          <w:sz w:val="48"/>
          <w:szCs w:val="48"/>
        </w:rPr>
        <w:t>院</w:t>
      </w:r>
    </w:p>
    <w:p w14:paraId="6857A34D">
      <w:pPr>
        <w:jc w:val="center"/>
        <w:rPr>
          <w:rFonts w:ascii="Calibri" w:hAnsi="Calibri" w:eastAsia="宋体" w:cs="Times New Roman"/>
          <w:b/>
          <w:sz w:val="24"/>
          <w:szCs w:val="24"/>
          <w:u w:val="single"/>
        </w:rPr>
      </w:pPr>
      <w:r>
        <w:rPr>
          <w:rFonts w:ascii="Calibri" w:hAnsi="Calibri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55245</wp:posOffset>
                </wp:positionV>
                <wp:extent cx="6191885" cy="1524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152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8pt;margin-top:4.35pt;height:1.2pt;width:487.55pt;z-index:251659264;mso-width-relative:page;mso-height-relative:page;" filled="f" stroked="t" coordsize="21600,21600" o:gfxdata="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IVC41QAAAAYBAAAPAAAAAAAAAAEAIAAAACIAAABkcnMvZG93bnJldi54bWxQSwECFAAUAAAA&#10;CACHTuJA/+pUZvEBAADgAwAADgAAAAAAAAABACAAAAAkAQAAZHJzL2Uyb0RvYy54bWxQSwUGAAAA&#10;AAYABgBZAQAAh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98425</wp:posOffset>
                </wp:positionV>
                <wp:extent cx="6191885" cy="20955"/>
                <wp:effectExtent l="0" t="9525" r="18415" b="2667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209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8pt;margin-top:7.75pt;height:1.65pt;width:487.55pt;z-index:251660288;mso-width-relative:page;mso-height-relative:page;" filled="f" stroked="t" coordsize="21600,21600" o:gfxdata="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9Myf61gAAAAcBAAAPAAAAAAAAAAEAIAAAACIAAABkcnMvZG93bnJldi54bWxQSwECFAAUAAAA&#10;CACHTuJADxfFz/ABAADgAwAADgAAAAAAAAABACAAAAAlAQAAZHJzL2Uyb0RvYy54bWxQSwUGAAAA&#10;AAYABgBZAQAAh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41EB37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年四川省专科护士培训招生简章（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季班）</w:t>
      </w:r>
    </w:p>
    <w:p w14:paraId="1521964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为加强全国特别是四川省妇幼临床专业化护理骨干的培养，深入贯彻《“健康中国2030”规划纲要》，结合四川省护理学会专科护士培训要求，特启动202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专科护士培训（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季班）招生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0979FB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一、医院简介</w:t>
      </w:r>
    </w:p>
    <w:p w14:paraId="64BF57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四川省妇幼保健院·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妇女儿童医院系四川省卫生健康委员会直属非营利性事业单位，是一所集医疗、保健、公共卫生管理、教学、科研、培训等职能为一体的三级甲等妇幼保健机构。四川省妇幼保健院拥有1个国家临床重点专科建设项目（妇产科），5个国家级妇幼保健特色专科（儿童保健、孕产期保健、更年期保健、新生儿保健、孕前保健），1个四川省临床医学研究中心建设单位（儿童肾病）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个省级临床重点专科建设项目（儿科、生殖医学科、儿童重症医学科、儿童肾病科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肿瘤妇科、急诊科），10个省级医学重点学科/重点实验室（产科、新生儿科、生殖医学、优生遗传与产前诊断学、儿童保健学、儿童重症医学、超声医学、妇科、出生缺陷防治、妇产科）。医院为国家级母婴安全优质服务示范单位、国家级住院医师规范化培训基地（妇产科、儿科）、国家级儿童保健示范基地、省级母婴安全指导中心、省级危重孕产妇和危重新生儿救治中心、省博士后创新实践基地、省首批药师与护士规范化培训基地。</w:t>
      </w:r>
    </w:p>
    <w:p w14:paraId="74F2F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在省委省政府和省卫生健康委等有关部门的关怀支持下，四川省妇幼保健院天府院区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一期已投入使用，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医院现有业务用房建筑面积共计13.3万㎡，开放床位750张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临床医技医辅科室35个。天府院区项目二期（建筑面积8万㎡）已动工，预计2025年投入使用，届时医院规划编制床位将达到1360张。</w:t>
      </w:r>
    </w:p>
    <w:p w14:paraId="0335B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拥有一支高素质的护理队伍，现有新生儿、儿科、助产、母婴和妇科5个省级专科护士培训基地。基地管理体系健全，师资队伍雄厚，教学设施齐全，为专科学员提供了良好的学习条件和实践环境。2018年至今，已培养各专科护士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余人次。</w:t>
      </w:r>
    </w:p>
    <w:p w14:paraId="5052B4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招生计划</w:t>
      </w:r>
    </w:p>
    <w:p w14:paraId="3E98D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特别说明：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述护理工作经验一律以护士执照注册时间开始计算。</w:t>
      </w:r>
    </w:p>
    <w:tbl>
      <w:tblPr>
        <w:tblStyle w:val="6"/>
        <w:tblW w:w="9337" w:type="dxa"/>
        <w:tblInd w:w="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973"/>
        <w:gridCol w:w="1417"/>
        <w:gridCol w:w="1075"/>
        <w:gridCol w:w="1867"/>
      </w:tblGrid>
      <w:tr w14:paraId="5A6D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exact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D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招收专业</w:t>
            </w:r>
          </w:p>
        </w:tc>
        <w:tc>
          <w:tcPr>
            <w:tcW w:w="3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7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招收对象及条件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招收计划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5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培训费用（元）</w:t>
            </w:r>
          </w:p>
        </w:tc>
      </w:tr>
      <w:tr w14:paraId="16C5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0" w:hRule="exact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新生儿护理</w:t>
            </w:r>
          </w:p>
        </w:tc>
        <w:tc>
          <w:tcPr>
            <w:tcW w:w="3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1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1、具有护士执业资格证两年及以上；</w:t>
            </w:r>
          </w:p>
          <w:p w14:paraId="3450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1年及以上儿科或新生儿科护理工作经验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15人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3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3600元（专科联盟单位3000元）</w:t>
            </w:r>
          </w:p>
        </w:tc>
      </w:tr>
      <w:tr w14:paraId="3B1D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 w:hRule="exact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0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产护 理</w:t>
            </w:r>
          </w:p>
        </w:tc>
        <w:tc>
          <w:tcPr>
            <w:tcW w:w="3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5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1、具有护士执业资格证两年及以上；</w:t>
            </w:r>
          </w:p>
          <w:p w14:paraId="2DAF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2、具备1年及以上产房工作经验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3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20人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9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3600元（专科联盟单位3000元）</w:t>
            </w:r>
          </w:p>
        </w:tc>
      </w:tr>
      <w:tr w14:paraId="30A1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3" w:hRule="exact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科护 理</w:t>
            </w:r>
          </w:p>
        </w:tc>
        <w:tc>
          <w:tcPr>
            <w:tcW w:w="3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1、具有护士执业资格证两年及以上；</w:t>
            </w:r>
          </w:p>
          <w:p w14:paraId="7DCA8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2、具备1年及以上儿科护理工作经验。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15人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4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3600元（专科联盟单位3000元）</w:t>
            </w:r>
          </w:p>
        </w:tc>
      </w:tr>
      <w:tr w14:paraId="28FB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4" w:hRule="exact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3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婴护 理</w:t>
            </w:r>
          </w:p>
        </w:tc>
        <w:tc>
          <w:tcPr>
            <w:tcW w:w="3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1、具有护士执业资格证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94E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2、大专以上学历；</w:t>
            </w:r>
          </w:p>
          <w:p w14:paraId="0667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3、具备2年及以上母婴护理工作经验。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15人</w:t>
            </w:r>
          </w:p>
        </w:tc>
        <w:tc>
          <w:tcPr>
            <w:tcW w:w="1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F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3600元（专科联盟单位3000元）</w:t>
            </w:r>
          </w:p>
        </w:tc>
      </w:tr>
    </w:tbl>
    <w:p w14:paraId="1ACCB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三、培训时间及方法</w:t>
      </w:r>
    </w:p>
    <w:p w14:paraId="4B815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1、培训时间：3个月。</w:t>
      </w:r>
    </w:p>
    <w:p w14:paraId="08F3B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2、培训方法：理论授课与临床实践相结合。</w:t>
      </w:r>
    </w:p>
    <w:p w14:paraId="207F6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集中理论授课1个月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由基地教师和外聘医护专家讲授；包括课堂教学、情景演练、工作坊、翻转课堂等形式。</w:t>
      </w:r>
    </w:p>
    <w:p w14:paraId="5AEFD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临床实践培训2个月：按照培训大纲要求，实行总带教老师负责下的指导教师一对一负责制，按照培训计划要求进行教学与考核。</w:t>
      </w:r>
    </w:p>
    <w:p w14:paraId="3D881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四、结业证颁发</w:t>
      </w:r>
    </w:p>
    <w:p w14:paraId="11AB3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结束，通过四川省护理学会专科护士培训结业考试（含理论及技能操作），由四川省护理学会授予继续教育学分、颁发“四川省护理学会新生儿专科护士培训合格证书”、“四川省护理学会助产专科护士培训合格证书”、“四川省护理学会儿科专科护士培训合格证书”、“四川省护理学会母婴专科护士培训合格证书”。</w:t>
      </w:r>
    </w:p>
    <w:p w14:paraId="47560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五、报名须知</w:t>
      </w:r>
    </w:p>
    <w:p w14:paraId="7F65B8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1、报名时间：从即日起报名，202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季招生报名截止时间202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262626" w:themeColor="text1" w:themeTint="D9"/>
          <w:sz w:val="32"/>
          <w:szCs w:val="32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截止时间以收到报名资料时间为准。</w:t>
      </w:r>
    </w:p>
    <w:p w14:paraId="64B96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2、报到时间：详见录取通知书。</w:t>
      </w:r>
    </w:p>
    <w:p w14:paraId="25C56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3、报到地点：四川省妇幼保健院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晋阳院区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（成都市武侯区沙堰西二街290号）。</w:t>
      </w:r>
    </w:p>
    <w:p w14:paraId="405A84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4、现场审核所需材料：</w:t>
      </w:r>
    </w:p>
    <w:p w14:paraId="3F5F1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（1）《专科护士培训报名表》（见附表）</w:t>
      </w:r>
    </w:p>
    <w:p w14:paraId="634A8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（2）身份证复印件2份（正反面合为一张）</w:t>
      </w:r>
    </w:p>
    <w:p w14:paraId="3D5E4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（3）护士执业证书复印件2份（请将照片页和证书编号页复印在同一张纸上，如有延续注册页、变更注册页，请一并复印）</w:t>
      </w:r>
    </w:p>
    <w:p w14:paraId="5F40B0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（4）学历证明复印件1份</w:t>
      </w:r>
    </w:p>
    <w:p w14:paraId="6C72A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一寸证件照1张</w:t>
      </w:r>
    </w:p>
    <w:p w14:paraId="581259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（5）蓝底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两寸标准近照1张</w:t>
      </w:r>
    </w:p>
    <w:p w14:paraId="17F58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（6）单位介绍信原件</w:t>
      </w:r>
    </w:p>
    <w:p w14:paraId="7E75D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（7）助产专业需要提交当地母婴保健技术资格合格证复印件1份。</w:t>
      </w:r>
    </w:p>
    <w:p w14:paraId="669AA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将以上现场审核所需材料中（1）、（3）、（4）项内容电子版各一份发送至邮箱，以便基地资质初审。助产专业需同时将当地母婴保健技术资格合格证电子版发送至邮箱。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3905"/>
      </w:tblGrid>
      <w:tr w14:paraId="3039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4" w:type="dxa"/>
            <w:vAlign w:val="center"/>
          </w:tcPr>
          <w:p w14:paraId="07D9E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专科护士类别</w:t>
            </w:r>
          </w:p>
        </w:tc>
        <w:tc>
          <w:tcPr>
            <w:tcW w:w="3905" w:type="dxa"/>
            <w:vAlign w:val="center"/>
          </w:tcPr>
          <w:p w14:paraId="49D56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报名邮箱</w:t>
            </w:r>
          </w:p>
        </w:tc>
      </w:tr>
      <w:tr w14:paraId="12C0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4" w:type="dxa"/>
            <w:vAlign w:val="center"/>
          </w:tcPr>
          <w:p w14:paraId="2D338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新生儿专科护士</w:t>
            </w:r>
          </w:p>
        </w:tc>
        <w:tc>
          <w:tcPr>
            <w:tcW w:w="3905" w:type="dxa"/>
            <w:vAlign w:val="center"/>
          </w:tcPr>
          <w:p w14:paraId="2501E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330144375@qq.com</w:t>
            </w:r>
          </w:p>
        </w:tc>
      </w:tr>
      <w:tr w14:paraId="6C25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4" w:type="dxa"/>
            <w:vAlign w:val="center"/>
          </w:tcPr>
          <w:p w14:paraId="6B837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助产专科护士</w:t>
            </w:r>
          </w:p>
        </w:tc>
        <w:tc>
          <w:tcPr>
            <w:tcW w:w="3905" w:type="dxa"/>
            <w:vAlign w:val="center"/>
          </w:tcPr>
          <w:p w14:paraId="50EA5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344654431@qq.com</w:t>
            </w:r>
          </w:p>
        </w:tc>
      </w:tr>
      <w:tr w14:paraId="6C47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4" w:type="dxa"/>
            <w:vAlign w:val="center"/>
          </w:tcPr>
          <w:p w14:paraId="5BCC8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儿科专科护士</w:t>
            </w:r>
          </w:p>
        </w:tc>
        <w:tc>
          <w:tcPr>
            <w:tcW w:w="3905" w:type="dxa"/>
            <w:vAlign w:val="center"/>
          </w:tcPr>
          <w:p w14:paraId="5B89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287514138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7B7B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4" w:type="dxa"/>
            <w:vAlign w:val="center"/>
          </w:tcPr>
          <w:p w14:paraId="3EE78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母婴专科护士</w:t>
            </w:r>
          </w:p>
        </w:tc>
        <w:tc>
          <w:tcPr>
            <w:tcW w:w="3905" w:type="dxa"/>
            <w:vAlign w:val="center"/>
          </w:tcPr>
          <w:p w14:paraId="0AF34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454669746@qq.com</w:t>
            </w:r>
          </w:p>
        </w:tc>
      </w:tr>
    </w:tbl>
    <w:p w14:paraId="5013F00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注意事项：</w:t>
      </w:r>
    </w:p>
    <w:p w14:paraId="0DEAB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（1）报名表中的“主要工作经历”请详细填写，“选送单位意见”须由单位领导签字并加盖医院鲜章。</w:t>
      </w:r>
    </w:p>
    <w:p w14:paraId="3A831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（2）护士证如有延续注册，请一定复印延续注册页。</w:t>
      </w:r>
    </w:p>
    <w:p w14:paraId="2682DD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六、报名、录取通知方式</w:t>
      </w:r>
    </w:p>
    <w:p w14:paraId="143F7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1、报名：报名学员需详细填写《专科护士培训报名表》（见附件），签署单位推荐意见并加盖公章后，将报名表、身份证复印件、学历证书复印件或扫描件、护士执业资格证书复印件或扫描件以电子邮件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发送到邮箱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（各基地邮箱见上表）。</w:t>
      </w:r>
    </w:p>
    <w:p w14:paraId="48E7E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2、咨询电话：</w:t>
      </w:r>
    </w:p>
    <w:tbl>
      <w:tblPr>
        <w:tblStyle w:val="6"/>
        <w:tblW w:w="8600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866"/>
        <w:gridCol w:w="2869"/>
      </w:tblGrid>
      <w:tr w14:paraId="672C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600" w:type="dxa"/>
            <w:gridSpan w:val="3"/>
          </w:tcPr>
          <w:p w14:paraId="18F6B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各专科护士培训基地班主任</w:t>
            </w:r>
          </w:p>
        </w:tc>
      </w:tr>
      <w:tr w14:paraId="5F4C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65" w:type="dxa"/>
          </w:tcPr>
          <w:p w14:paraId="142B1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专科类别</w:t>
            </w:r>
          </w:p>
        </w:tc>
        <w:tc>
          <w:tcPr>
            <w:tcW w:w="2866" w:type="dxa"/>
          </w:tcPr>
          <w:p w14:paraId="51D3D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69" w:type="dxa"/>
          </w:tcPr>
          <w:p w14:paraId="623E8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45B0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65" w:type="dxa"/>
          </w:tcPr>
          <w:p w14:paraId="5A2D0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新生儿护理</w:t>
            </w:r>
          </w:p>
        </w:tc>
        <w:tc>
          <w:tcPr>
            <w:tcW w:w="2866" w:type="dxa"/>
          </w:tcPr>
          <w:p w14:paraId="101A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2869" w:type="dxa"/>
          </w:tcPr>
          <w:p w14:paraId="2260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18048580228</w:t>
            </w:r>
          </w:p>
        </w:tc>
      </w:tr>
      <w:tr w14:paraId="121F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65" w:type="dxa"/>
          </w:tcPr>
          <w:p w14:paraId="5EF99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助产护理</w:t>
            </w:r>
          </w:p>
        </w:tc>
        <w:tc>
          <w:tcPr>
            <w:tcW w:w="2866" w:type="dxa"/>
          </w:tcPr>
          <w:p w14:paraId="21084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  <w:tc>
          <w:tcPr>
            <w:tcW w:w="2869" w:type="dxa"/>
          </w:tcPr>
          <w:p w14:paraId="7A077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13668229889</w:t>
            </w:r>
          </w:p>
        </w:tc>
      </w:tr>
      <w:tr w14:paraId="0ED7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65" w:type="dxa"/>
          </w:tcPr>
          <w:p w14:paraId="3CE21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儿科护理</w:t>
            </w:r>
          </w:p>
        </w:tc>
        <w:tc>
          <w:tcPr>
            <w:tcW w:w="2866" w:type="dxa"/>
          </w:tcPr>
          <w:p w14:paraId="746BA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869" w:type="dxa"/>
          </w:tcPr>
          <w:p w14:paraId="27BD6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17360098219</w:t>
            </w:r>
          </w:p>
        </w:tc>
      </w:tr>
      <w:tr w14:paraId="0F51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65" w:type="dxa"/>
          </w:tcPr>
          <w:p w14:paraId="32771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母婴护理</w:t>
            </w:r>
          </w:p>
        </w:tc>
        <w:tc>
          <w:tcPr>
            <w:tcW w:w="2866" w:type="dxa"/>
          </w:tcPr>
          <w:p w14:paraId="06F02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宋老师</w:t>
            </w:r>
          </w:p>
        </w:tc>
        <w:tc>
          <w:tcPr>
            <w:tcW w:w="2869" w:type="dxa"/>
          </w:tcPr>
          <w:p w14:paraId="74B8A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18280305503</w:t>
            </w:r>
          </w:p>
        </w:tc>
      </w:tr>
    </w:tbl>
    <w:p w14:paraId="25F5A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3、录取：资格初审合格后，录取结果将以电话通知、电子邮件统一向录取学员发送录取通知书，请注意查收邮件、保持电话通畅。</w:t>
      </w:r>
    </w:p>
    <w:p w14:paraId="5B58A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4、费用与食宿安排：食宿自理，培训费、住宿费学员回原单位报销。</w:t>
      </w:r>
    </w:p>
    <w:p w14:paraId="68486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987E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附件1：专科护士培训报名表</w:t>
      </w:r>
    </w:p>
    <w:p w14:paraId="27E43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附件2：儿科专科护士基地简介</w:t>
      </w:r>
    </w:p>
    <w:p w14:paraId="5B2E85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：母婴及助产专科护士基地简介</w:t>
      </w:r>
    </w:p>
    <w:p w14:paraId="61C92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：新生儿专科护士基地简介</w:t>
      </w:r>
    </w:p>
    <w:p w14:paraId="0D2D9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115FF7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339090</wp:posOffset>
            </wp:positionV>
            <wp:extent cx="1851660" cy="1618615"/>
            <wp:effectExtent l="0" t="0" r="15240" b="63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8C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268B80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四川省妇幼保健院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09A631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51E8C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0" w:firstLineChars="200"/>
        <w:textAlignment w:val="auto"/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5B207D1">
      <w:pPr>
        <w:rPr>
          <w:rFonts w:hint="eastAsia" w:ascii="仿宋" w:hAnsi="仿宋" w:eastAsia="仿宋" w:cs="仿宋_GB2312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3FD5A52C"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仿宋_GB2312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3CB2009"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 w14:paraId="785DA9A2">
      <w:pPr>
        <w:tabs>
          <w:tab w:val="left" w:pos="4335"/>
        </w:tabs>
        <w:spacing w:line="360" w:lineRule="auto"/>
        <w:jc w:val="center"/>
        <w:rPr>
          <w:rFonts w:ascii="黑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四川省妇幼保健院·四川省妇女儿童医院·成都医学院附属妇女儿童医院</w:t>
      </w:r>
    </w:p>
    <w:p w14:paraId="18507BF5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四川省专科护士培训报名表</w:t>
      </w:r>
    </w:p>
    <w:tbl>
      <w:tblPr>
        <w:tblStyle w:val="6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329"/>
        <w:gridCol w:w="35"/>
        <w:gridCol w:w="681"/>
        <w:gridCol w:w="579"/>
        <w:gridCol w:w="1079"/>
        <w:gridCol w:w="709"/>
        <w:gridCol w:w="1216"/>
        <w:gridCol w:w="2272"/>
      </w:tblGrid>
      <w:tr w14:paraId="1474A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FEAFF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C03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DF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E55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D99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4D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305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4101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所在单位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AF9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B35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FA4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23AE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FA22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6E3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55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385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A9F5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E4A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护士执业资格证取得时间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E54E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4C0EE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拟报名专科</w:t>
            </w:r>
          </w:p>
          <w:p w14:paraId="7052DEA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护士专业*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3B7AB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687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A67C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9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E6B4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97B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3526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7C93">
            <w:pPr>
              <w:widowControl/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4C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是否住宿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89AD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D4F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64F0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职称</w:t>
            </w:r>
            <w:r>
              <w:rPr>
                <w:rFonts w:hint="eastAsia" w:ascii="宋体" w:hAnsi="宋体"/>
                <w:b/>
                <w:sz w:val="24"/>
              </w:rPr>
              <w:t>/</w:t>
            </w:r>
            <w:r>
              <w:rPr>
                <w:rFonts w:ascii="宋体" w:hAnsi="宋体"/>
                <w:b/>
                <w:sz w:val="24"/>
              </w:rPr>
              <w:t>职务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C2F453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6538483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A914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参加工作</w:t>
            </w:r>
          </w:p>
          <w:p w14:paraId="598F2FB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DED5E"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65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从事该专业护理工作时间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0D4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58EAEE4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D61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C1CDF07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主要学习工作简历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13C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58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759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D4424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职务、职称</w:t>
            </w:r>
          </w:p>
        </w:tc>
      </w:tr>
      <w:tr w14:paraId="5FD38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4" w:hRule="atLeast"/>
          <w:jc w:val="center"/>
        </w:trPr>
        <w:tc>
          <w:tcPr>
            <w:tcW w:w="18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246CE3B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717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754AD6C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03CEA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72669B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0D29AC9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3CCAD86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08572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76976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8032D2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141297C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07C6A150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06743AD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4EC9127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E4B1E4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7EA1CDB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5C6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4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5474CBB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医院推荐意见</w:t>
            </w:r>
          </w:p>
        </w:tc>
        <w:tc>
          <w:tcPr>
            <w:tcW w:w="79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22B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43554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26619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447D7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424625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医院负责人签字：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医院盖章：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日期：</w:t>
            </w:r>
          </w:p>
        </w:tc>
      </w:tr>
    </w:tbl>
    <w:p w14:paraId="5AE40EF8">
      <w:pPr>
        <w:spacing w:line="360" w:lineRule="auto"/>
        <w:rPr>
          <w:sz w:val="24"/>
        </w:rPr>
      </w:pPr>
      <w:r>
        <w:rPr>
          <w:rFonts w:hint="eastAsia"/>
          <w:sz w:val="24"/>
        </w:rPr>
        <w:t>*拟报名专科护士专业：新生儿、助产、儿科、母婴。</w:t>
      </w:r>
    </w:p>
    <w:p w14:paraId="27A751D0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4D719F4B">
      <w:pPr>
        <w:pStyle w:val="5"/>
        <w:adjustRightInd w:val="0"/>
        <w:snapToGrid w:val="0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儿科专科护士基地简介</w:t>
      </w:r>
    </w:p>
    <w:p w14:paraId="0D6C38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0" w:firstLineChars="200"/>
        <w:jc w:val="both"/>
        <w:textAlignment w:val="auto"/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四川省妇幼保健院儿科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包括儿童重症医学科、儿童呼吸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血液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儿童消化科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肾脏风湿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免疫科、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儿童神经/遗传代谢内分泌科、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小儿耳鼻喉头颈外科、儿童心脏病中心（包括小儿心脏病内科、小儿胸心病外科）以及小儿外科等儿科相关专业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。儿科于2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年通过四川省儿科临床重点专科建设项目，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儿童重症医学科、儿童肾病科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于2023年成为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省级临床重点专科建设项目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儿童重症医学科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2017年通过四川省医学重点学科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乙级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建设项目评审。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年门诊量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32万余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人次，年急诊量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10万余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人次，年住院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14000余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人次，其中收治危重患儿8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000余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人次。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晋阳院区开设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床位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252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张（其中新生儿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90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张）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天府院区45张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我院儿科医护团队人才梯队结构合理，共有医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护人员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190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余人，其中医学博士2人，硕士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51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人，硕士生导师</w:t>
      </w:r>
      <w:r>
        <w:rPr>
          <w:rFonts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在儿科全体医护人员的共同努力下，儿科的临床业务、教学科研工作逐步发展，取得了较好的成绩，是四川省护士规范化培训基地、成都医学院儿科专业硕士教学点、成都医学院护理专业本、专科教学点、省内外多家本、专科高校实习基地。积极采纳国内外先进管理模式，实施“以家庭为中心”的优质护理服务。在护理风险与安全管理、精细化管理、家庭化病房管理、人性化护理等方面取得了显著成绩。开展了经鼻高流量氧疗（HFNC)、NCPAP、BIPIAP、常频/高频呼吸机、CRRT、血浆置换术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ECMO、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各型中心静脉置管术（PICC、CVC）、有创动脉血压监测、亚低温治疗、肠道外全静脉营养、胸腔闭式引流术、经皮氧分压及二氧化碳分压监测，电子支气管镜、胃肠镜检查，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内镜下消化道异物、气管异物取出术，肠镜下结直肠息肉切除术，肾脏穿刺活检术、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婴幼儿/儿童肺功能监测、碳13尿素呼气试验、一氧化氮呼气试验、视频脑电图、肌电图及神经诱发电位监测、多种遗传代谢疾病串联质谱筛查和基因检测、有创呼吸机患儿俯卧位通气、上机患儿舒适化镇痛镇静、心脏术后监护、脊柱侧弯术后监护等诊疗护理技术。近年来获得省部级、厅局级科研项目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项，院级课题</w:t>
      </w:r>
      <w:r>
        <w:rPr>
          <w:rFonts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仿宋" w:hAnsi="仿宋" w:eastAsia="仿宋" w:cs="仿宋"/>
          <w:color w:val="262626" w:themeColor="text1" w:themeTint="D9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项。</w:t>
      </w:r>
    </w:p>
    <w:p w14:paraId="2760BD07">
      <w:pPr>
        <w:rPr>
          <w:rFonts w:hint="default"/>
          <w:lang w:eastAsia="zh-CN"/>
        </w:rPr>
      </w:pPr>
    </w:p>
    <w:p w14:paraId="24DD0A36">
      <w:pPr>
        <w:rPr>
          <w:rFonts w:hint="default"/>
          <w:sz w:val="30"/>
          <w:szCs w:val="30"/>
          <w:lang w:eastAsia="zh-CN"/>
        </w:rPr>
      </w:pPr>
    </w:p>
    <w:p w14:paraId="5FC895B4"/>
    <w:p w14:paraId="093D490D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1BE4604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6DA0339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8A223B0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CC5374F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09CCE7F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D7DB121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7FA0AC4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5F8A4C6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3004DD4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3301DB4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6E0C7B7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800EB1F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19B1557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701EEE6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53598C0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488AC37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C35B857">
      <w:pPr>
        <w:adjustRightInd w:val="0"/>
        <w:snapToGrid w:val="0"/>
        <w:spacing w:line="360" w:lineRule="auto"/>
        <w:rPr>
          <w:rFonts w:hint="eastAsia" w:ascii="黑体" w:hAnsi="黑体" w:eastAsia="黑体" w:cs="黑体"/>
          <w:color w:val="000000" w:themeColor="text1"/>
          <w:szCs w:val="21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6716441">
      <w:pPr>
        <w:pStyle w:val="5"/>
        <w:widowControl/>
        <w:adjustRightInd w:val="0"/>
        <w:snapToGrid w:val="0"/>
        <w:spacing w:beforeAutospacing="0" w:afterAutospacing="0" w:line="360" w:lineRule="auto"/>
        <w:ind w:firstLine="643" w:firstLineChars="200"/>
        <w:jc w:val="center"/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</w:pPr>
    </w:p>
    <w:p w14:paraId="66419E41">
      <w:pPr>
        <w:pStyle w:val="5"/>
        <w:widowControl/>
        <w:adjustRightInd w:val="0"/>
        <w:snapToGrid w:val="0"/>
        <w:spacing w:beforeAutospacing="0" w:afterAutospacing="0" w:line="360" w:lineRule="auto"/>
        <w:jc w:val="center"/>
        <w:rPr>
          <w:rFonts w:ascii="仿宋" w:hAnsi="仿宋" w:eastAsia="仿宋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母婴及助产专业基地简介</w:t>
      </w:r>
    </w:p>
    <w:p w14:paraId="02F4583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四川省妇幼保健院产科是四川省医学乙级重点学科、四川省危重孕产妇救治中心，四川省妇幼保健系统产科转诊中心，四川省分娩镇痛首批试点单位。</w:t>
      </w:r>
      <w:r>
        <w:rPr>
          <w:rFonts w:hint="eastAsia" w:ascii="仿宋_GB2312" w:hAnsi="仿宋_GB2312" w:eastAsia="仿宋_GB2312" w:cs="仿宋_GB2312"/>
          <w:sz w:val="30"/>
          <w:szCs w:val="30"/>
        </w:rPr>
        <w:t>2010年获国家级母婴安全优质服务单位；2016年3月作为国家卫生健康委妇幼司《新生儿早期基本保健项目（EENC）》首批试点医院；2018年获全国百家优秀爱婴医院；2018年荣获国家卫健委健康医政医管局健康报社“进一步改善医疗服务示范科室”；2018年获省医学重点学科科技影响力综合排名第5名；2018年获批四川省分娩镇痛首批试点单位；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2020年获评“国家孕产期保健特色专科建设单位”，2021年妇产科获批国家临床重点专科建设项目。产科目前为国家级规范化医师培训基地、中国妇幼保健协会专科助产士临床培训基地、省级母婴专科护士培训基地、省级助产士专科护士培训基地。</w:t>
      </w:r>
    </w:p>
    <w:p w14:paraId="3DB9FF0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目前产科分为产科门诊、产前病房、产房、母婴同室区（普通病房及VIP病房，开放床位131张）。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年门诊量185000人次，年分娩量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000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例，阴道分娩量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000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例。产科共有医护人员1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4人，医师5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人，护士7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人，助产士3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人。其中高级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职称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人，中级职称4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人；医学博士1人、在读博士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人，医学硕士31人；护理学硕士1人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护理学在读硕士2人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四川省学术技术带头人及后备人选数人，成都医学院硕士研究生导师2人。产科梯队中有产科高级生命支持教程国家级、省级师资5人，新生儿复苏省级师资2人、世界卫生组织新生儿早期基本保健省级师资9人，中国疾病预防中心妇幼中心助产士规范化培训基地省级师资2人。四川省护理学会妇产科副主任委员单位。教师队伍中，具有高级职称13人；具有研究生学</w:t>
      </w:r>
    </w:p>
    <w:p w14:paraId="12942F4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历以上教师6人，本科学历教师15人；具有高校教师资格证4人，承担成都医学院护理学本科及专科妇产科护理学授课，成都职业技术学院护理学专科授课。</w:t>
      </w:r>
    </w:p>
    <w:p w14:paraId="4548C5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 xml:space="preserve"> 我院产科技术精湛，关注发展产科危急重症处置的能力，产科继续本着 “以人为本，促进自然分娩”的理念，优化服务环境和设施，积极推广多种特色服务。开设妊娠合并糖尿病、双胎、妊娠期高血压疾病、凶险性前置胎盘、FGR、VBAC等亚专业，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年我院高危孕妇比例占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val="en-US" w:eastAsia="zh-CN" w:bidi="ar"/>
        </w:rPr>
        <w:t>76.5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%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。2018年开设母乳喂养咨询门诊，为出院后产妇给予母乳喂养的延伸服务；2019年，我院作为全国21家项目机构全面开展早产儿袋鼠式护理；产科开展了CVC 及深静脉置管评估及护理、介入手术护理、疼痛管理、产后快速康复、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砭石通乳、中药浴足、耳穴压豆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、母婴区袋鼠护理、新生儿血糖管理、VIP床旁护理、健康教育等特色护理。在爱婴医院管理方面管理方式及理念先进，培训基地负责人有丰富的爱婴医院管理经验。承担国家重点研发计划项目、四川省卫生厅及四川省护理学会及院内科技创新课题等多项课题。</w:t>
      </w:r>
    </w:p>
    <w:p w14:paraId="73BD8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我院产房配备医疗组3人、住院总1人和助产士32人，采用医疗组长+助产组长负责制，实行了医护一体化的医疗、教学管理模式，全天24小时全面保障产房医疗安全。产房拥有一流的现代化监护设施及治疗手段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设有分娩间7个（水中分娩间3个），急诊手术室1间，待产床20张。产房医疗护理团队为促进自然分娩严格控制剖宫产率，近年来剖宫产率≦35%，非医学指征剖宫产率≦10%，阴道分娩中转剖宫产率≦8%，会阴侧切率≦20%。产房在省内率先推出助产士门诊，开展群组化健康教育模式，从早孕、中孕、晚孕给予不同的孕期指导和分娩体验。2016年我院作为全国首批新生儿早期基本保健技术（EENC）项目单位，推广和指导省内外各级医院共80</w:t>
      </w:r>
    </w:p>
    <w:p w14:paraId="5280C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余家。目前产房已经全面开展各项促进自然分娩适宜技术，如适度保护会阴接生技术、自由体位待产和分娩、剖宫产术后再次妊娠阴道试产、子宫颈双球囊引产，产房在省内率先开展多模式联合分娩镇痛服务（水中分娩、无痛分娩、导乐仪镇痛、家属陪产、一对一导乐陪伴分娩等）。全方位保障母婴安全。</w:t>
      </w:r>
    </w:p>
    <w:p w14:paraId="6F027EC6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52E196FA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0AD5AC17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0515854E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3509EA44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1CE4C980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320D74A4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76C4F443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6C8963E1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6BB8CA97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570FFFB4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041CE7A6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290715EA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3108DDE0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292E9E14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1DE10149"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p w14:paraId="411E9F64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_GB2312"/>
          <w:szCs w:val="21"/>
          <w:shd w:val="clear" w:color="auto" w:fill="FFFFFF"/>
        </w:rPr>
      </w:pPr>
    </w:p>
    <w:p w14:paraId="78427B41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color w:val="FF0000"/>
          <w:szCs w:val="21"/>
          <w:highlight w:val="yellow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Cs w:val="21"/>
          <w:shd w:val="clear" w:color="auto" w:fill="FFFFFF"/>
        </w:rPr>
        <w:t>附件</w:t>
      </w:r>
      <w:r>
        <w:rPr>
          <w:rFonts w:hint="eastAsia" w:ascii="黑体" w:hAnsi="黑体" w:eastAsia="黑体" w:cs="黑体"/>
          <w:szCs w:val="21"/>
          <w:shd w:val="clear" w:color="auto" w:fill="FFFFFF"/>
          <w:lang w:val="en-US" w:eastAsia="zh-CN"/>
        </w:rPr>
        <w:t>4</w:t>
      </w:r>
    </w:p>
    <w:p w14:paraId="1C536837">
      <w:pPr>
        <w:pStyle w:val="5"/>
        <w:widowControl/>
        <w:adjustRightInd w:val="0"/>
        <w:snapToGrid w:val="0"/>
        <w:spacing w:beforeAutospacing="0" w:afterAutospacing="0" w:line="360" w:lineRule="auto"/>
        <w:jc w:val="both"/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4B0FE0B">
      <w:pPr>
        <w:pStyle w:val="5"/>
        <w:widowControl/>
        <w:adjustRightInd w:val="0"/>
        <w:snapToGrid w:val="0"/>
        <w:spacing w:beforeAutospacing="0" w:afterAutospacing="0" w:line="360" w:lineRule="auto"/>
        <w:jc w:val="center"/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新生儿专科护士基地简介</w:t>
      </w:r>
    </w:p>
    <w:p w14:paraId="0D98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我院新生儿科是四川省医学重点学科、四川省危重新生儿救治中心、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国家级新生儿特色保健专科、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国家级儿科住院医师、护士规范化培训基地、香港儿童医健基金会“中西部新生儿救治能力建设”培训基地。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晋阳院区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开放床位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张，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天府院区25张，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年收治危重新生儿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4700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多例。科室具有新生儿重症监护室（NICU）、早产儿诊治中心、普通新生儿病房及完整的院前急救—危重转运—重症监护—高危儿随访的急救治疗和康复管理体系。团队共有医护人员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人，其中护理团队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人。拥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一流的现代化监护设施及治疗手段，具有诊治极早期早产儿、极低出生体重儿、呼吸窘迫综合征、持续肺动脉高压、缺氧缺血性脑病、坏死性小肠结肠炎等多种疑难危重病人的能力。开展了外周动静脉同步血浆置换术、经外周静脉中心静脉置管术（PICC）、脐静脉置管术（UVC）、脐动脉置管术（UAC）、经颈内静脉中心血管置管术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CVC）、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CRRT技术、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亚低温治疗、NO吸入治疗、胃肠道外全静脉营养、胸腔闭式引流术、振幅整合脑功能监测、经皮氧分压及二氧化碳分压监测、动态血压监测、新生儿肺超声检查、早产儿视网膜病变筛查、新生儿G6PD及先天性肾上腺皮质增生症筛查等技术。新生儿科护理质量水平省内领先，实现了安全机械通气58天无感染、成功护理590g超低体重早产儿以及24周超早产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创造了省内最轻体重早产儿CRRT治疗记录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。先后开展了新生儿早期保健（EENC）、家属参与式病房护理新模式、早产儿袋鼠妈妈式护理、新生儿疼痛管理、早产儿口腔免疫、口腔功能干预训练、早产儿发展性照护、早产儿NIDCAP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项目；率先在西南地区妇幼系统开展5G转运、5G探视项目，获得国家卫健委互联网典型案例；是国家妇幼司“早产儿袋鼠护理及母乳喂养技术规范”队列研究参研医院、承担2019年国家级多中心“新生儿皮肤损伤专家共识”项目构建、承担省厅级、厅局级以及院级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050D424E">
      <w:pPr>
        <w:pStyle w:val="5"/>
        <w:widowControl/>
        <w:adjustRightInd w:val="0"/>
        <w:snapToGrid w:val="0"/>
        <w:spacing w:beforeAutospacing="0" w:afterAutospacing="0" w:line="360" w:lineRule="auto"/>
        <w:ind w:firstLine="600" w:firstLineChars="200"/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 w14:paraId="33B523AB">
      <w:pPr>
        <w:pStyle w:val="5"/>
        <w:widowControl/>
        <w:adjustRightInd w:val="0"/>
        <w:snapToGrid w:val="0"/>
        <w:spacing w:beforeAutospacing="0" w:afterAutospacing="0" w:line="360" w:lineRule="auto"/>
        <w:ind w:firstLine="600" w:firstLineChars="200"/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169235-42BA-463D-8682-17A1DD4810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FBDA29-A5B6-4BDB-8472-E6518C2162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E0D102-158E-4EB1-921A-BBB24BDBBB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B138FC0-C94B-4968-A569-992BFEBB72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49379"/>
    <w:multiLevelType w:val="singleLevel"/>
    <w:tmpl w:val="C11493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237B4"/>
    <w:multiLevelType w:val="singleLevel"/>
    <w:tmpl w:val="604237B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ZTQzMGNkZGZkNzZjNzdjYTIxMDEzYzE0M2YyYjgifQ=="/>
  </w:docVars>
  <w:rsids>
    <w:rsidRoot w:val="00000000"/>
    <w:rsid w:val="019448B7"/>
    <w:rsid w:val="09B53482"/>
    <w:rsid w:val="0C5764CE"/>
    <w:rsid w:val="0ED63BF3"/>
    <w:rsid w:val="0F3A448D"/>
    <w:rsid w:val="10E5667A"/>
    <w:rsid w:val="116A6B7F"/>
    <w:rsid w:val="12A642E2"/>
    <w:rsid w:val="13132F2A"/>
    <w:rsid w:val="13413ACA"/>
    <w:rsid w:val="16507D95"/>
    <w:rsid w:val="23307C29"/>
    <w:rsid w:val="26A0480B"/>
    <w:rsid w:val="2EED1450"/>
    <w:rsid w:val="33536F6E"/>
    <w:rsid w:val="3B49101C"/>
    <w:rsid w:val="3F84793E"/>
    <w:rsid w:val="42385237"/>
    <w:rsid w:val="477032B3"/>
    <w:rsid w:val="4C4F320E"/>
    <w:rsid w:val="4EF4120E"/>
    <w:rsid w:val="4F8D7D7E"/>
    <w:rsid w:val="53B536AF"/>
    <w:rsid w:val="561B3058"/>
    <w:rsid w:val="57E04A72"/>
    <w:rsid w:val="59351E55"/>
    <w:rsid w:val="5A1E363A"/>
    <w:rsid w:val="5B4C378D"/>
    <w:rsid w:val="631C417C"/>
    <w:rsid w:val="64A94C8E"/>
    <w:rsid w:val="664719E6"/>
    <w:rsid w:val="66670C36"/>
    <w:rsid w:val="68B47F81"/>
    <w:rsid w:val="695847ED"/>
    <w:rsid w:val="6ADD6189"/>
    <w:rsid w:val="6D1158DA"/>
    <w:rsid w:val="6D6E2DED"/>
    <w:rsid w:val="6DB66549"/>
    <w:rsid w:val="6EFF182A"/>
    <w:rsid w:val="729917B9"/>
    <w:rsid w:val="72BC2114"/>
    <w:rsid w:val="791D56CF"/>
    <w:rsid w:val="7B521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5407</Words>
  <Characters>5770</Characters>
  <Lines>55</Lines>
  <Paragraphs>15</Paragraphs>
  <TotalTime>51</TotalTime>
  <ScaleCrop>false</ScaleCrop>
  <LinksUpToDate>false</LinksUpToDate>
  <CharactersWithSpaces>5828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2023-05-19T11:52:00Z</dcterms:created>
  <dc:creator>Administrator</dc:creator>
  <cp:lastModifiedBy>苗野萩</cp:lastModifiedBy>
  <dcterms:modified xsi:type="dcterms:W3CDTF">2025-01-22T02:19:29Z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8CA8CB092B2747759E24BF0ADAC3F217_13</vt:lpwstr>
  </property>
  <property fmtid="{D5CDD505-2E9C-101B-9397-08002B2CF9AE}" pid="4" name="KSOTemplateDocerSaveRecord">
    <vt:lpwstr>eyJoZGlkIjoiOGFhYWQyN2EyMmZlYjFhMGIwZTQ5MzkyNDE2YTRiOTUiLCJ1c2VySWQiOiIyMzI4MTk5NzUifQ==</vt:lpwstr>
  </property>
</Properties>
</file>