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0120F" w14:textId="74A76BC8" w:rsidR="009C6D43" w:rsidRDefault="009C6D43" w:rsidP="009C6D43">
      <w:pPr>
        <w:tabs>
          <w:tab w:val="left" w:pos="5250"/>
        </w:tabs>
        <w:spacing w:line="24" w:lineRule="atLeast"/>
        <w:jc w:val="center"/>
        <w:rPr>
          <w:b/>
          <w:bCs/>
          <w:sz w:val="44"/>
          <w:szCs w:val="52"/>
        </w:rPr>
      </w:pPr>
      <w:r>
        <w:rPr>
          <w:rFonts w:hint="eastAsia"/>
          <w:b/>
          <w:bCs/>
          <w:sz w:val="44"/>
          <w:szCs w:val="52"/>
        </w:rPr>
        <w:t>国产虚拟化</w:t>
      </w:r>
      <w:r w:rsidR="001449DD">
        <w:rPr>
          <w:rFonts w:hint="eastAsia"/>
          <w:b/>
          <w:bCs/>
          <w:sz w:val="44"/>
          <w:szCs w:val="52"/>
        </w:rPr>
        <w:t>平台</w:t>
      </w:r>
      <w:r>
        <w:rPr>
          <w:rFonts w:hint="eastAsia"/>
          <w:b/>
          <w:bCs/>
          <w:sz w:val="44"/>
          <w:szCs w:val="52"/>
        </w:rPr>
        <w:t>技术参数</w:t>
      </w:r>
    </w:p>
    <w:p w14:paraId="25D61F10" w14:textId="77777777" w:rsidR="009C6D43" w:rsidRDefault="009C6D43" w:rsidP="009C6D43">
      <w:pPr>
        <w:spacing w:line="24" w:lineRule="atLeast"/>
        <w:rPr>
          <w:sz w:val="28"/>
          <w:szCs w:val="28"/>
        </w:rPr>
      </w:pPr>
      <w:r>
        <w:rPr>
          <w:rFonts w:hint="eastAsia"/>
          <w:sz w:val="28"/>
          <w:szCs w:val="28"/>
        </w:rPr>
        <w:t>说明：</w:t>
      </w:r>
    </w:p>
    <w:p w14:paraId="22726788" w14:textId="2073B327" w:rsidR="009C6D43" w:rsidRPr="009C6D43" w:rsidRDefault="009C6D43" w:rsidP="009C6D43">
      <w:pPr>
        <w:rPr>
          <w:rFonts w:ascii="宋体" w:hAnsi="宋体" w:cs="仿宋" w:hint="eastAsia"/>
          <w:bCs/>
          <w:sz w:val="24"/>
          <w:szCs w:val="24"/>
        </w:rPr>
      </w:pPr>
      <w:r w:rsidRPr="009C6D43">
        <w:rPr>
          <w:rFonts w:ascii="宋体" w:hAnsi="宋体" w:cs="仿宋" w:hint="eastAsia"/>
          <w:bCs/>
          <w:sz w:val="24"/>
          <w:szCs w:val="24"/>
        </w:rPr>
        <w:t>带★指标为本项目的实质性要求，供应商应全部满足，否则其投标文件作无效处理；“▲”符号的条款为本项目的重要参数条款，未标识符号的条款为一般参数条款。</w:t>
      </w:r>
    </w:p>
    <w:p w14:paraId="19FA8129" w14:textId="10DACC15" w:rsidR="009C6D43" w:rsidRDefault="009C6D43" w:rsidP="009C6D43">
      <w:pPr>
        <w:pStyle w:val="10"/>
      </w:pPr>
      <w:r>
        <w:rPr>
          <w:rFonts w:hint="eastAsia"/>
        </w:rPr>
        <w:t>一、采购清单</w:t>
      </w:r>
    </w:p>
    <w:p w14:paraId="3A39B093" w14:textId="79404682" w:rsidR="009C6D43" w:rsidRPr="006E697D" w:rsidRDefault="009C6D43" w:rsidP="009C6D43">
      <w:pPr>
        <w:widowControl w:val="0"/>
        <w:numPr>
          <w:ilvl w:val="1"/>
          <w:numId w:val="6"/>
        </w:numPr>
        <w:spacing w:line="360" w:lineRule="auto"/>
      </w:pPr>
      <w:r w:rsidRPr="006E697D">
        <w:rPr>
          <w:rFonts w:hint="eastAsia"/>
        </w:rPr>
        <w:t>预算：</w:t>
      </w:r>
      <w:r>
        <w:rPr>
          <w:rFonts w:hint="eastAsia"/>
        </w:rPr>
        <w:t>40</w:t>
      </w:r>
      <w:r w:rsidRPr="006E697D">
        <w:rPr>
          <w:rFonts w:hint="eastAsia"/>
        </w:rPr>
        <w:t>万</w:t>
      </w:r>
    </w:p>
    <w:p w14:paraId="5237D776" w14:textId="5D90157C" w:rsidR="009C6D43" w:rsidRPr="006E697D" w:rsidRDefault="009C6D43" w:rsidP="009C6D43">
      <w:pPr>
        <w:widowControl w:val="0"/>
        <w:numPr>
          <w:ilvl w:val="1"/>
          <w:numId w:val="6"/>
        </w:numPr>
        <w:spacing w:line="360" w:lineRule="auto"/>
      </w:pPr>
      <w:r w:rsidRPr="006E697D">
        <w:rPr>
          <w:rFonts w:hint="eastAsia"/>
        </w:rPr>
        <w:t>最高限价：</w:t>
      </w:r>
      <w:r w:rsidR="00A04E02">
        <w:rPr>
          <w:rFonts w:hint="eastAsia"/>
        </w:rPr>
        <w:t>40</w:t>
      </w:r>
      <w:r w:rsidRPr="006E697D">
        <w:rPr>
          <w:rFonts w:hint="eastAsia"/>
        </w:rPr>
        <w:t>万</w:t>
      </w:r>
    </w:p>
    <w:p w14:paraId="43519E76" w14:textId="77777777" w:rsidR="009C6D43" w:rsidRDefault="009C6D43" w:rsidP="009C6D43">
      <w:pPr>
        <w:pStyle w:val="af1"/>
        <w:numPr>
          <w:ilvl w:val="1"/>
          <w:numId w:val="6"/>
        </w:numPr>
        <w:spacing w:line="360" w:lineRule="auto"/>
      </w:pPr>
      <w:r>
        <w:rPr>
          <w:rFonts w:hint="eastAsia"/>
        </w:rPr>
        <w:t>采购清单：</w:t>
      </w:r>
    </w:p>
    <w:tbl>
      <w:tblPr>
        <w:tblW w:w="4998"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15"/>
        <w:gridCol w:w="4652"/>
        <w:gridCol w:w="1221"/>
        <w:gridCol w:w="1395"/>
      </w:tblGrid>
      <w:tr w:rsidR="009C6D43" w14:paraId="123EE3F1" w14:textId="77777777" w:rsidTr="007C2AAC">
        <w:trPr>
          <w:trHeight w:val="518"/>
        </w:trPr>
        <w:tc>
          <w:tcPr>
            <w:tcW w:w="613" w:type="pct"/>
            <w:tcBorders>
              <w:tl2br w:val="nil"/>
              <w:tr2bl w:val="nil"/>
            </w:tcBorders>
            <w:shd w:val="clear" w:color="auto" w:fill="FFFFFF"/>
          </w:tcPr>
          <w:p w14:paraId="2D38F17B" w14:textId="77777777" w:rsidR="009C6D43" w:rsidRDefault="009C6D43" w:rsidP="007C2AAC">
            <w:pPr>
              <w:snapToGrid w:val="0"/>
              <w:spacing w:line="24" w:lineRule="atLeast"/>
              <w:jc w:val="center"/>
              <w:textAlignment w:val="top"/>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序号</w:t>
            </w:r>
          </w:p>
        </w:tc>
        <w:tc>
          <w:tcPr>
            <w:tcW w:w="2808" w:type="pct"/>
            <w:tcBorders>
              <w:tl2br w:val="nil"/>
              <w:tr2bl w:val="nil"/>
            </w:tcBorders>
            <w:shd w:val="clear" w:color="auto" w:fill="FFFFFF"/>
          </w:tcPr>
          <w:p w14:paraId="7C94C2A3" w14:textId="77777777" w:rsidR="009C6D43" w:rsidRDefault="009C6D43" w:rsidP="007C2AAC">
            <w:pPr>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sz w:val="28"/>
                <w:szCs w:val="28"/>
              </w:rPr>
              <w:t>采购标的</w:t>
            </w:r>
          </w:p>
        </w:tc>
        <w:tc>
          <w:tcPr>
            <w:tcW w:w="737" w:type="pct"/>
            <w:tcBorders>
              <w:tl2br w:val="nil"/>
              <w:tr2bl w:val="nil"/>
            </w:tcBorders>
            <w:shd w:val="clear" w:color="auto" w:fill="FFFFFF"/>
          </w:tcPr>
          <w:p w14:paraId="71FBE7F0" w14:textId="77777777" w:rsidR="009C6D43" w:rsidRDefault="009C6D43" w:rsidP="007C2AAC">
            <w:pPr>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kern w:val="0"/>
                <w:sz w:val="28"/>
                <w:szCs w:val="28"/>
                <w:lang w:bidi="ar"/>
              </w:rPr>
              <w:t>数量</w:t>
            </w:r>
          </w:p>
        </w:tc>
        <w:tc>
          <w:tcPr>
            <w:tcW w:w="842" w:type="pct"/>
            <w:tcBorders>
              <w:tl2br w:val="nil"/>
              <w:tr2bl w:val="nil"/>
            </w:tcBorders>
            <w:shd w:val="clear" w:color="auto" w:fill="FFFFFF"/>
          </w:tcPr>
          <w:p w14:paraId="67FDE4C9" w14:textId="77777777" w:rsidR="009C6D43" w:rsidRDefault="009C6D43" w:rsidP="007C2AAC">
            <w:pPr>
              <w:snapToGrid w:val="0"/>
              <w:spacing w:line="24" w:lineRule="atLeast"/>
              <w:jc w:val="center"/>
              <w:textAlignment w:val="top"/>
              <w:rPr>
                <w:rFonts w:ascii="宋体" w:hAnsi="宋体" w:cs="宋体" w:hint="eastAsia"/>
                <w:color w:val="000000"/>
                <w:sz w:val="28"/>
                <w:szCs w:val="28"/>
              </w:rPr>
            </w:pPr>
            <w:r>
              <w:rPr>
                <w:rFonts w:ascii="宋体" w:hAnsi="宋体" w:cs="宋体" w:hint="eastAsia"/>
                <w:color w:val="000000"/>
                <w:kern w:val="0"/>
                <w:sz w:val="28"/>
                <w:szCs w:val="28"/>
                <w:lang w:bidi="ar"/>
              </w:rPr>
              <w:t>备注</w:t>
            </w:r>
          </w:p>
        </w:tc>
      </w:tr>
      <w:tr w:rsidR="009C6D43" w14:paraId="1481ABDD" w14:textId="77777777" w:rsidTr="007C2AAC">
        <w:trPr>
          <w:trHeight w:val="471"/>
        </w:trPr>
        <w:tc>
          <w:tcPr>
            <w:tcW w:w="613" w:type="pct"/>
            <w:tcBorders>
              <w:tl2br w:val="nil"/>
              <w:tr2bl w:val="nil"/>
            </w:tcBorders>
            <w:shd w:val="clear" w:color="auto" w:fill="FFFFFF"/>
          </w:tcPr>
          <w:p w14:paraId="11BB3DC4" w14:textId="77777777" w:rsidR="009C6D43" w:rsidRDefault="009C6D43" w:rsidP="007C2AAC">
            <w:pPr>
              <w:spacing w:line="240" w:lineRule="atLeast"/>
              <w:jc w:val="center"/>
              <w:rPr>
                <w:rFonts w:ascii="宋体" w:hAnsi="宋体" w:cs="Arial" w:hint="eastAsia"/>
              </w:rPr>
            </w:pPr>
            <w:r>
              <w:rPr>
                <w:rFonts w:ascii="宋体" w:hAnsi="宋体" w:cs="Arial" w:hint="eastAsia"/>
              </w:rPr>
              <w:t>1</w:t>
            </w:r>
          </w:p>
        </w:tc>
        <w:tc>
          <w:tcPr>
            <w:tcW w:w="2808" w:type="pct"/>
            <w:tcBorders>
              <w:tl2br w:val="nil"/>
              <w:tr2bl w:val="nil"/>
            </w:tcBorders>
            <w:shd w:val="clear" w:color="auto" w:fill="FFFFFF"/>
          </w:tcPr>
          <w:p w14:paraId="573D37EE" w14:textId="5CAA23FB" w:rsidR="009C6D43" w:rsidRDefault="00A04E02" w:rsidP="007C2AAC">
            <w:pPr>
              <w:spacing w:line="240" w:lineRule="atLeast"/>
              <w:jc w:val="center"/>
              <w:rPr>
                <w:rFonts w:ascii="宋体" w:hAnsi="宋体" w:cs="Arial" w:hint="eastAsia"/>
              </w:rPr>
            </w:pPr>
            <w:r w:rsidRPr="00A04E02">
              <w:rPr>
                <w:rFonts w:ascii="宋体" w:hAnsi="宋体" w:cs="宋体" w:hint="eastAsia"/>
              </w:rPr>
              <w:t>国产虚拟化</w:t>
            </w:r>
            <w:r w:rsidR="001449DD">
              <w:rPr>
                <w:rFonts w:ascii="宋体" w:hAnsi="宋体" w:cs="宋体" w:hint="eastAsia"/>
              </w:rPr>
              <w:t>平台</w:t>
            </w:r>
          </w:p>
        </w:tc>
        <w:tc>
          <w:tcPr>
            <w:tcW w:w="737" w:type="pct"/>
            <w:tcBorders>
              <w:tl2br w:val="nil"/>
              <w:tr2bl w:val="nil"/>
            </w:tcBorders>
            <w:shd w:val="clear" w:color="auto" w:fill="FFFFFF"/>
          </w:tcPr>
          <w:p w14:paraId="62979A59" w14:textId="32B1CE02" w:rsidR="009C6D43" w:rsidRDefault="00A04E02" w:rsidP="007C2AAC">
            <w:pPr>
              <w:spacing w:line="240" w:lineRule="atLeast"/>
              <w:jc w:val="center"/>
              <w:rPr>
                <w:rFonts w:ascii="宋体" w:hAnsi="宋体" w:cs="Arial" w:hint="eastAsia"/>
              </w:rPr>
            </w:pPr>
            <w:r>
              <w:rPr>
                <w:rFonts w:ascii="宋体" w:hAnsi="宋体" w:cs="Arial" w:hint="eastAsia"/>
              </w:rPr>
              <w:t>1</w:t>
            </w:r>
            <w:r w:rsidR="00326084">
              <w:rPr>
                <w:rFonts w:ascii="宋体" w:hAnsi="宋体" w:cs="Arial" w:hint="eastAsia"/>
              </w:rPr>
              <w:t>批</w:t>
            </w:r>
          </w:p>
        </w:tc>
        <w:tc>
          <w:tcPr>
            <w:tcW w:w="842" w:type="pct"/>
            <w:tcBorders>
              <w:tl2br w:val="nil"/>
              <w:tr2bl w:val="nil"/>
            </w:tcBorders>
            <w:shd w:val="clear" w:color="auto" w:fill="FFFFFF"/>
          </w:tcPr>
          <w:p w14:paraId="6D092FF5" w14:textId="77777777" w:rsidR="009C6D43" w:rsidRDefault="009C6D43" w:rsidP="007C2AAC">
            <w:pPr>
              <w:spacing w:line="240" w:lineRule="atLeast"/>
              <w:jc w:val="center"/>
              <w:rPr>
                <w:rFonts w:ascii="宋体" w:hAnsi="宋体" w:cs="Arial" w:hint="eastAsia"/>
              </w:rPr>
            </w:pPr>
          </w:p>
        </w:tc>
      </w:tr>
    </w:tbl>
    <w:p w14:paraId="7ACBCE9D" w14:textId="77777777" w:rsidR="009C6D43" w:rsidRPr="009C6D43" w:rsidRDefault="009C6D43" w:rsidP="009C6D43">
      <w:pPr>
        <w:pStyle w:val="a0"/>
      </w:pPr>
    </w:p>
    <w:p w14:paraId="2CCDB381" w14:textId="0DF0F544" w:rsidR="003F684F" w:rsidRPr="009C6D43" w:rsidRDefault="009C6D43" w:rsidP="009C6D43">
      <w:pPr>
        <w:pStyle w:val="10"/>
      </w:pPr>
      <w:r>
        <w:rPr>
          <w:rFonts w:hint="eastAsia"/>
        </w:rPr>
        <w:t>二、技术参数要求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338"/>
        <w:gridCol w:w="4939"/>
        <w:gridCol w:w="669"/>
        <w:gridCol w:w="666"/>
      </w:tblGrid>
      <w:tr w:rsidR="003F684F" w14:paraId="7366DCAD" w14:textId="77777777">
        <w:tc>
          <w:tcPr>
            <w:tcW w:w="684" w:type="dxa"/>
          </w:tcPr>
          <w:p w14:paraId="6A6C2D75" w14:textId="77777777" w:rsidR="003F684F" w:rsidRDefault="00000000">
            <w:pPr>
              <w:widowControl w:val="0"/>
              <w:rPr>
                <w:rFonts w:ascii="仿宋" w:eastAsia="仿宋" w:hAnsi="仿宋" w:cs="仿宋" w:hint="eastAsia"/>
              </w:rPr>
            </w:pPr>
            <w:r>
              <w:rPr>
                <w:rFonts w:ascii="仿宋" w:eastAsia="仿宋" w:hAnsi="仿宋" w:cs="仿宋" w:hint="eastAsia"/>
              </w:rPr>
              <w:t>序号</w:t>
            </w:r>
          </w:p>
        </w:tc>
        <w:tc>
          <w:tcPr>
            <w:tcW w:w="1338" w:type="dxa"/>
          </w:tcPr>
          <w:p w14:paraId="5318DA4A" w14:textId="77777777" w:rsidR="003F684F" w:rsidRDefault="00000000">
            <w:pPr>
              <w:widowControl w:val="0"/>
              <w:rPr>
                <w:rFonts w:ascii="仿宋" w:eastAsia="仿宋" w:hAnsi="仿宋" w:cs="仿宋" w:hint="eastAsia"/>
              </w:rPr>
            </w:pPr>
            <w:r>
              <w:rPr>
                <w:rFonts w:ascii="仿宋" w:eastAsia="仿宋" w:hAnsi="仿宋" w:cs="仿宋" w:hint="eastAsia"/>
              </w:rPr>
              <w:t>产品名称</w:t>
            </w:r>
          </w:p>
        </w:tc>
        <w:tc>
          <w:tcPr>
            <w:tcW w:w="4939" w:type="dxa"/>
          </w:tcPr>
          <w:p w14:paraId="7B7B1B3A" w14:textId="77777777" w:rsidR="003F684F" w:rsidRDefault="00000000">
            <w:pPr>
              <w:widowControl w:val="0"/>
              <w:rPr>
                <w:rFonts w:ascii="仿宋" w:eastAsia="仿宋" w:hAnsi="仿宋" w:cs="仿宋" w:hint="eastAsia"/>
              </w:rPr>
            </w:pPr>
            <w:r>
              <w:rPr>
                <w:rFonts w:ascii="仿宋" w:eastAsia="仿宋" w:hAnsi="仿宋" w:cs="仿宋" w:hint="eastAsia"/>
              </w:rPr>
              <w:t>技术要求</w:t>
            </w:r>
          </w:p>
        </w:tc>
        <w:tc>
          <w:tcPr>
            <w:tcW w:w="669" w:type="dxa"/>
          </w:tcPr>
          <w:p w14:paraId="3CD071D0" w14:textId="77777777" w:rsidR="003F684F" w:rsidRDefault="00000000">
            <w:pPr>
              <w:widowControl w:val="0"/>
              <w:rPr>
                <w:rFonts w:ascii="仿宋" w:eastAsia="仿宋" w:hAnsi="仿宋" w:cs="仿宋" w:hint="eastAsia"/>
              </w:rPr>
            </w:pPr>
            <w:r>
              <w:rPr>
                <w:rFonts w:ascii="仿宋" w:eastAsia="仿宋" w:hAnsi="仿宋" w:cs="仿宋" w:hint="eastAsia"/>
              </w:rPr>
              <w:t>数量</w:t>
            </w:r>
          </w:p>
        </w:tc>
        <w:tc>
          <w:tcPr>
            <w:tcW w:w="666" w:type="dxa"/>
          </w:tcPr>
          <w:p w14:paraId="23AB0837" w14:textId="77777777" w:rsidR="003F684F" w:rsidRDefault="00000000">
            <w:pPr>
              <w:widowControl w:val="0"/>
              <w:rPr>
                <w:rFonts w:ascii="仿宋" w:eastAsia="仿宋" w:hAnsi="仿宋" w:cs="仿宋" w:hint="eastAsia"/>
              </w:rPr>
            </w:pPr>
            <w:r>
              <w:rPr>
                <w:rFonts w:ascii="仿宋" w:eastAsia="仿宋" w:hAnsi="仿宋" w:cs="仿宋" w:hint="eastAsia"/>
              </w:rPr>
              <w:t>单位</w:t>
            </w:r>
          </w:p>
        </w:tc>
      </w:tr>
      <w:tr w:rsidR="003F684F" w14:paraId="018535E7" w14:textId="77777777">
        <w:trPr>
          <w:trHeight w:val="4301"/>
        </w:trPr>
        <w:tc>
          <w:tcPr>
            <w:tcW w:w="684" w:type="dxa"/>
          </w:tcPr>
          <w:p w14:paraId="4C2CC99D" w14:textId="77777777" w:rsidR="003F684F" w:rsidRDefault="003F684F">
            <w:pPr>
              <w:pStyle w:val="af0"/>
              <w:widowControl w:val="0"/>
              <w:numPr>
                <w:ilvl w:val="0"/>
                <w:numId w:val="3"/>
              </w:numPr>
              <w:ind w:firstLineChars="0"/>
              <w:jc w:val="center"/>
              <w:rPr>
                <w:rFonts w:ascii="仿宋" w:eastAsia="仿宋" w:hAnsi="仿宋" w:cs="仿宋" w:hint="eastAsia"/>
              </w:rPr>
            </w:pPr>
          </w:p>
        </w:tc>
        <w:tc>
          <w:tcPr>
            <w:tcW w:w="1338" w:type="dxa"/>
          </w:tcPr>
          <w:p w14:paraId="6D3F741C" w14:textId="77777777" w:rsidR="003F684F" w:rsidRDefault="00000000">
            <w:pPr>
              <w:widowControl w:val="0"/>
              <w:jc w:val="center"/>
              <w:rPr>
                <w:rFonts w:ascii="仿宋" w:eastAsia="仿宋" w:hAnsi="仿宋" w:cs="仿宋" w:hint="eastAsia"/>
              </w:rPr>
            </w:pPr>
            <w:r>
              <w:rPr>
                <w:rFonts w:ascii="仿宋" w:eastAsia="仿宋" w:hAnsi="仿宋" w:cs="仿宋" w:hint="eastAsia"/>
              </w:rPr>
              <w:t>国产化超融合资源池</w:t>
            </w:r>
          </w:p>
        </w:tc>
        <w:tc>
          <w:tcPr>
            <w:tcW w:w="4939" w:type="dxa"/>
          </w:tcPr>
          <w:p w14:paraId="36563B7A"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★共提供</w:t>
            </w:r>
            <w:r>
              <w:rPr>
                <w:rFonts w:ascii="仿宋" w:eastAsia="仿宋" w:hAnsi="仿宋" w:cs="仿宋"/>
                <w:szCs w:val="18"/>
              </w:rPr>
              <w:t>3</w:t>
            </w:r>
            <w:r>
              <w:rPr>
                <w:rFonts w:ascii="仿宋" w:eastAsia="仿宋" w:hAnsi="仿宋" w:cs="仿宋" w:hint="eastAsia"/>
                <w:szCs w:val="18"/>
              </w:rPr>
              <w:t>台节点，单节点硬件配置：配置2颗C</w:t>
            </w:r>
            <w:r>
              <w:rPr>
                <w:rFonts w:ascii="仿宋" w:eastAsia="仿宋" w:hAnsi="仿宋" w:cs="仿宋"/>
                <w:szCs w:val="18"/>
              </w:rPr>
              <w:t>86</w:t>
            </w:r>
            <w:r>
              <w:rPr>
                <w:rFonts w:ascii="仿宋" w:eastAsia="仿宋" w:hAnsi="仿宋" w:cs="仿宋" w:hint="eastAsia"/>
                <w:szCs w:val="18"/>
              </w:rPr>
              <w:t>架构CPU（主频≥2.9GHz、单颗CPU核数≥16C），内存≥256GB</w:t>
            </w:r>
            <w:r>
              <w:rPr>
                <w:rFonts w:ascii="仿宋" w:eastAsia="仿宋" w:hAnsi="仿宋" w:cs="仿宋"/>
                <w:szCs w:val="18"/>
              </w:rPr>
              <w:t xml:space="preserve"> </w:t>
            </w:r>
            <w:r>
              <w:rPr>
                <w:rFonts w:ascii="仿宋" w:eastAsia="仿宋" w:hAnsi="仿宋" w:cs="仿宋" w:hint="eastAsia"/>
                <w:szCs w:val="18"/>
              </w:rPr>
              <w:t>DDR4，冗余电源。接口：</w:t>
            </w:r>
            <w:proofErr w:type="gramStart"/>
            <w:r>
              <w:rPr>
                <w:rFonts w:ascii="仿宋" w:eastAsia="仿宋" w:hAnsi="仿宋" w:cs="仿宋" w:hint="eastAsia"/>
                <w:szCs w:val="18"/>
              </w:rPr>
              <w:t>千兆电口</w:t>
            </w:r>
            <w:proofErr w:type="gramEnd"/>
            <w:r>
              <w:rPr>
                <w:rFonts w:ascii="仿宋" w:eastAsia="仿宋" w:hAnsi="仿宋" w:cs="仿宋" w:hint="eastAsia"/>
                <w:szCs w:val="18"/>
              </w:rPr>
              <w:t>≥</w:t>
            </w:r>
            <w:r>
              <w:rPr>
                <w:rFonts w:ascii="仿宋" w:eastAsia="仿宋" w:hAnsi="仿宋" w:cs="仿宋"/>
                <w:szCs w:val="18"/>
              </w:rPr>
              <w:t>4</w:t>
            </w:r>
            <w:r>
              <w:rPr>
                <w:rFonts w:ascii="仿宋" w:eastAsia="仿宋" w:hAnsi="仿宋" w:cs="仿宋" w:hint="eastAsia"/>
                <w:szCs w:val="18"/>
              </w:rPr>
              <w:t>个，</w:t>
            </w:r>
            <w:proofErr w:type="gramStart"/>
            <w:r>
              <w:rPr>
                <w:rFonts w:ascii="仿宋" w:eastAsia="仿宋" w:hAnsi="仿宋" w:cs="仿宋" w:hint="eastAsia"/>
                <w:szCs w:val="18"/>
              </w:rPr>
              <w:t>万兆光口</w:t>
            </w:r>
            <w:proofErr w:type="gramEnd"/>
            <w:r>
              <w:rPr>
                <w:rFonts w:ascii="仿宋" w:eastAsia="仿宋" w:hAnsi="仿宋" w:cs="仿宋" w:hint="eastAsia"/>
                <w:szCs w:val="18"/>
              </w:rPr>
              <w:t>≥2个。硬盘≥2块480GB SSD，≥2块1.92TB SSD，≥2块8TB HDD。</w:t>
            </w:r>
          </w:p>
          <w:p w14:paraId="253480FA"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★授权要求：配置</w:t>
            </w:r>
            <w:r>
              <w:rPr>
                <w:rFonts w:ascii="仿宋" w:eastAsia="仿宋" w:hAnsi="仿宋" w:cs="仿宋"/>
                <w:szCs w:val="18"/>
              </w:rPr>
              <w:t>3</w:t>
            </w:r>
            <w:r>
              <w:rPr>
                <w:rFonts w:ascii="仿宋" w:eastAsia="仿宋" w:hAnsi="仿宋" w:cs="仿宋" w:hint="eastAsia"/>
                <w:szCs w:val="18"/>
              </w:rPr>
              <w:t>台节点对应的国产化虚拟化软件授权（含计算、存储、网络、管理等）。</w:t>
            </w:r>
          </w:p>
          <w:p w14:paraId="6A44BF80"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★授权要求：配置≥300个虚拟机的分布式防火墙软件，提供基于虚拟机出入方向的安全访问控制功能。</w:t>
            </w:r>
          </w:p>
          <w:p w14:paraId="6A7372AE"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★授权要求：配置≥48</w:t>
            </w:r>
            <w:r>
              <w:rPr>
                <w:rFonts w:ascii="仿宋" w:eastAsia="仿宋" w:hAnsi="仿宋" w:cs="仿宋"/>
                <w:szCs w:val="18"/>
              </w:rPr>
              <w:t>T</w:t>
            </w:r>
            <w:r>
              <w:rPr>
                <w:rFonts w:ascii="仿宋" w:eastAsia="仿宋" w:hAnsi="仿宋" w:cs="仿宋" w:hint="eastAsia"/>
                <w:szCs w:val="18"/>
              </w:rPr>
              <w:t>的备份授权，支持备份至超融合资源池内部存储和外置NAS存储。</w:t>
            </w:r>
          </w:p>
          <w:p w14:paraId="6A036D9A"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支持对存储的数据进行2副本或3副本的数据冗余配置。</w:t>
            </w:r>
          </w:p>
          <w:p w14:paraId="20909878"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支持设置快照策略并设置快照频率，包括按周快照、按天快照和按小时快照。</w:t>
            </w:r>
          </w:p>
          <w:p w14:paraId="6636002B"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▲支持在数据重建时进行优先级管理，可以点击操作中的优先级对数据重建进行优先重建，保证</w:t>
            </w:r>
            <w:r>
              <w:rPr>
                <w:rFonts w:ascii="仿宋" w:eastAsia="仿宋" w:hAnsi="仿宋" w:cs="仿宋" w:hint="eastAsia"/>
                <w:szCs w:val="18"/>
              </w:rPr>
              <w:lastRenderedPageBreak/>
              <w:t>重要的业务优先恢复。</w:t>
            </w:r>
          </w:p>
          <w:p w14:paraId="40B163E3"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支持集群动态资源调度功能，可基于主机的CPU、内存等资源利用率对虚拟机进行动态资源调度。</w:t>
            </w:r>
          </w:p>
          <w:p w14:paraId="7051D560" w14:textId="77777777" w:rsidR="003F684F" w:rsidRDefault="00000000">
            <w:pPr>
              <w:pStyle w:val="af0"/>
              <w:widowControl w:val="0"/>
              <w:numPr>
                <w:ilvl w:val="0"/>
                <w:numId w:val="4"/>
              </w:numPr>
              <w:ind w:firstLineChars="0"/>
              <w:rPr>
                <w:rFonts w:ascii="仿宋" w:eastAsia="仿宋" w:hAnsi="仿宋" w:cs="仿宋" w:hint="eastAsia"/>
                <w:szCs w:val="18"/>
              </w:rPr>
            </w:pPr>
            <w:r>
              <w:rPr>
                <w:rFonts w:ascii="仿宋" w:eastAsia="仿宋" w:hAnsi="仿宋" w:cs="仿宋" w:hint="eastAsia"/>
                <w:szCs w:val="18"/>
              </w:rPr>
              <w:t>虚拟机可以实现</w:t>
            </w:r>
            <w:proofErr w:type="gramStart"/>
            <w:r>
              <w:rPr>
                <w:rFonts w:ascii="仿宋" w:eastAsia="仿宋" w:hAnsi="仿宋" w:cs="仿宋" w:hint="eastAsia"/>
                <w:szCs w:val="18"/>
              </w:rPr>
              <w:t>物理机</w:t>
            </w:r>
            <w:proofErr w:type="gramEnd"/>
            <w:r>
              <w:rPr>
                <w:rFonts w:ascii="仿宋" w:eastAsia="仿宋" w:hAnsi="仿宋" w:cs="仿宋" w:hint="eastAsia"/>
                <w:szCs w:val="18"/>
              </w:rPr>
              <w:t>的全部功能，可以指定单独的IP地址、MAC地址等。</w:t>
            </w:r>
          </w:p>
          <w:p w14:paraId="0E73C2E2"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10、▲通过AI算法对虚拟机、主机的性能、可靠性打分，提供调度建议，并支持设置调度时间段。（提供产品功能截图，并加盖投标人公章）</w:t>
            </w:r>
          </w:p>
          <w:p w14:paraId="0A080716"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11、▲支持对数据重建的业务性能自动或智能保护，如开启限速等，保护重建时的业务性能。</w:t>
            </w:r>
          </w:p>
          <w:p w14:paraId="71048632"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12、支持一键快速查看、启动、删除和批量管理虚拟机，降低运维工作量与难度。</w:t>
            </w:r>
          </w:p>
          <w:p w14:paraId="559D16A3"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13、自动收集所有的相关的组件的日志，告警，提供告警合并功能。</w:t>
            </w:r>
          </w:p>
          <w:p w14:paraId="067A4967"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14、支持硬盘迁移管理，当硬盘的故障区域过多，系统能自动将该盘的数据迁移至其他健康的硬盘上。</w:t>
            </w:r>
          </w:p>
          <w:p w14:paraId="1C5EB442"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15、▲支持在业务数据重建时能够对数据重建的速度进行智能限速，避免数据重建过程中IO性能的占用导致对业务的性能造成影响。（提供产品功能截图，并加盖投标人公章）</w:t>
            </w:r>
          </w:p>
          <w:p w14:paraId="78361885"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16、能够提供端口镜像功能，支持设置流量镜像将平台内部网络流量镜像到内部虚拟机、外部安全设备进行流量审计。</w:t>
            </w:r>
          </w:p>
          <w:p w14:paraId="4E57B0A2"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17、支持通过可视化平台进行虚拟网络设备快速搭建。</w:t>
            </w:r>
          </w:p>
          <w:p w14:paraId="15201CAF"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18、▲支持对硬盘的坏道扫描与修复，发现坏道后，能够主动修复坏道区域数据。（提供产品功能截图，并加盖投标人公章）</w:t>
            </w:r>
          </w:p>
          <w:p w14:paraId="0BF91349"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19、支持查看资源池资源情况，能够实时监测并告警。</w:t>
            </w:r>
          </w:p>
          <w:p w14:paraId="6D65835A"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20、▲支持多种告警方式，医院管理员可通过</w:t>
            </w:r>
            <w:proofErr w:type="gramStart"/>
            <w:r>
              <w:rPr>
                <w:rFonts w:ascii="仿宋" w:eastAsia="仿宋" w:hAnsi="仿宋" w:cs="仿宋" w:hint="eastAsia"/>
                <w:szCs w:val="18"/>
              </w:rPr>
              <w:t>移动端小程序</w:t>
            </w:r>
            <w:proofErr w:type="gramEnd"/>
            <w:r>
              <w:rPr>
                <w:rFonts w:ascii="仿宋" w:eastAsia="仿宋" w:hAnsi="仿宋" w:cs="仿宋" w:hint="eastAsia"/>
                <w:szCs w:val="18"/>
              </w:rPr>
              <w:t>(或公众号)、0A(如企微、钉钉)、电话获取告警通知。(需提供关于以上3种告警方式的产品功能截图，并加盖投标人公章)</w:t>
            </w:r>
          </w:p>
        </w:tc>
        <w:tc>
          <w:tcPr>
            <w:tcW w:w="669" w:type="dxa"/>
          </w:tcPr>
          <w:p w14:paraId="6A6CF77F" w14:textId="77777777" w:rsidR="003F684F" w:rsidRDefault="00000000">
            <w:pPr>
              <w:widowControl w:val="0"/>
              <w:jc w:val="center"/>
              <w:rPr>
                <w:rFonts w:ascii="仿宋" w:eastAsia="仿宋" w:hAnsi="仿宋" w:cs="仿宋" w:hint="eastAsia"/>
              </w:rPr>
            </w:pPr>
            <w:r>
              <w:rPr>
                <w:rFonts w:ascii="仿宋" w:eastAsia="仿宋" w:hAnsi="仿宋" w:cs="仿宋"/>
              </w:rPr>
              <w:lastRenderedPageBreak/>
              <w:t>1</w:t>
            </w:r>
          </w:p>
        </w:tc>
        <w:tc>
          <w:tcPr>
            <w:tcW w:w="666" w:type="dxa"/>
          </w:tcPr>
          <w:p w14:paraId="715FC13D" w14:textId="77777777" w:rsidR="003F684F" w:rsidRDefault="00000000">
            <w:pPr>
              <w:widowControl w:val="0"/>
              <w:jc w:val="center"/>
              <w:rPr>
                <w:rFonts w:ascii="仿宋" w:eastAsia="仿宋" w:hAnsi="仿宋" w:cs="仿宋" w:hint="eastAsia"/>
              </w:rPr>
            </w:pPr>
            <w:r>
              <w:rPr>
                <w:rFonts w:ascii="仿宋" w:eastAsia="仿宋" w:hAnsi="仿宋" w:cs="仿宋" w:hint="eastAsia"/>
              </w:rPr>
              <w:t>套</w:t>
            </w:r>
          </w:p>
        </w:tc>
      </w:tr>
      <w:tr w:rsidR="003F684F" w14:paraId="4316F2EF" w14:textId="77777777">
        <w:trPr>
          <w:trHeight w:val="1410"/>
        </w:trPr>
        <w:tc>
          <w:tcPr>
            <w:tcW w:w="684" w:type="dxa"/>
          </w:tcPr>
          <w:p w14:paraId="6E719264" w14:textId="77777777" w:rsidR="003F684F" w:rsidRDefault="003F684F">
            <w:pPr>
              <w:pStyle w:val="af0"/>
              <w:widowControl w:val="0"/>
              <w:numPr>
                <w:ilvl w:val="0"/>
                <w:numId w:val="3"/>
              </w:numPr>
              <w:ind w:firstLineChars="0"/>
              <w:jc w:val="center"/>
              <w:rPr>
                <w:rFonts w:ascii="仿宋" w:eastAsia="仿宋" w:hAnsi="仿宋" w:cs="仿宋" w:hint="eastAsia"/>
              </w:rPr>
            </w:pPr>
          </w:p>
        </w:tc>
        <w:tc>
          <w:tcPr>
            <w:tcW w:w="1338" w:type="dxa"/>
          </w:tcPr>
          <w:p w14:paraId="1609FE5E" w14:textId="77777777" w:rsidR="003F684F" w:rsidRDefault="00000000">
            <w:pPr>
              <w:widowControl w:val="0"/>
              <w:rPr>
                <w:rFonts w:ascii="仿宋" w:eastAsia="仿宋" w:hAnsi="仿宋" w:cs="仿宋" w:hint="eastAsia"/>
              </w:rPr>
            </w:pPr>
            <w:r>
              <w:rPr>
                <w:rFonts w:ascii="仿宋" w:eastAsia="仿宋" w:hAnsi="仿宋" w:cs="仿宋" w:hint="eastAsia"/>
              </w:rPr>
              <w:t>交换机</w:t>
            </w:r>
          </w:p>
        </w:tc>
        <w:tc>
          <w:tcPr>
            <w:tcW w:w="4939" w:type="dxa"/>
          </w:tcPr>
          <w:p w14:paraId="18701AB7" w14:textId="77777777" w:rsidR="003F684F" w:rsidRDefault="00000000">
            <w:pPr>
              <w:pStyle w:val="af0"/>
              <w:widowControl w:val="0"/>
              <w:numPr>
                <w:ilvl w:val="0"/>
                <w:numId w:val="5"/>
              </w:numPr>
              <w:ind w:firstLineChars="0"/>
              <w:rPr>
                <w:rFonts w:ascii="仿宋" w:eastAsia="仿宋" w:hAnsi="仿宋" w:cs="仿宋" w:hint="eastAsia"/>
                <w:szCs w:val="18"/>
              </w:rPr>
            </w:pPr>
            <w:r>
              <w:rPr>
                <w:rFonts w:ascii="仿宋" w:eastAsia="仿宋" w:hAnsi="仿宋" w:cs="仿宋" w:hint="eastAsia"/>
                <w:szCs w:val="18"/>
              </w:rPr>
              <w:t>★提供交换机≥24个万兆光口，≥24个</w:t>
            </w:r>
            <w:proofErr w:type="gramStart"/>
            <w:r>
              <w:rPr>
                <w:rFonts w:ascii="仿宋" w:eastAsia="仿宋" w:hAnsi="仿宋" w:cs="仿宋" w:hint="eastAsia"/>
                <w:szCs w:val="18"/>
              </w:rPr>
              <w:t>千兆电口</w:t>
            </w:r>
            <w:proofErr w:type="gramEnd"/>
            <w:r>
              <w:rPr>
                <w:rFonts w:ascii="仿宋" w:eastAsia="仿宋" w:hAnsi="仿宋" w:cs="仿宋" w:hint="eastAsia"/>
                <w:szCs w:val="18"/>
              </w:rPr>
              <w:t>；</w:t>
            </w:r>
          </w:p>
          <w:p w14:paraId="1FBDABA9" w14:textId="77777777" w:rsidR="003F684F" w:rsidRDefault="00000000">
            <w:pPr>
              <w:pStyle w:val="af0"/>
              <w:widowControl w:val="0"/>
              <w:numPr>
                <w:ilvl w:val="0"/>
                <w:numId w:val="5"/>
              </w:numPr>
              <w:ind w:firstLineChars="0"/>
              <w:rPr>
                <w:rFonts w:ascii="仿宋" w:eastAsia="仿宋" w:hAnsi="仿宋" w:cs="仿宋" w:hint="eastAsia"/>
                <w:szCs w:val="18"/>
              </w:rPr>
            </w:pPr>
            <w:r>
              <w:rPr>
                <w:rFonts w:ascii="仿宋" w:eastAsia="仿宋" w:hAnsi="仿宋" w:cs="仿宋" w:hint="eastAsia"/>
                <w:szCs w:val="18"/>
              </w:rPr>
              <w:t>★交换容量 ≥2.56Tbps/25.6Tbps，包转发率≥1080Mpps；</w:t>
            </w:r>
          </w:p>
        </w:tc>
        <w:tc>
          <w:tcPr>
            <w:tcW w:w="669" w:type="dxa"/>
          </w:tcPr>
          <w:p w14:paraId="4A6F2951" w14:textId="77777777" w:rsidR="003F684F" w:rsidRDefault="00000000">
            <w:pPr>
              <w:widowControl w:val="0"/>
              <w:jc w:val="center"/>
              <w:rPr>
                <w:rFonts w:ascii="仿宋" w:eastAsia="仿宋" w:hAnsi="仿宋" w:cs="仿宋" w:hint="eastAsia"/>
              </w:rPr>
            </w:pPr>
            <w:r>
              <w:rPr>
                <w:rFonts w:ascii="仿宋" w:eastAsia="仿宋" w:hAnsi="仿宋" w:cs="仿宋" w:hint="eastAsia"/>
              </w:rPr>
              <w:t>2</w:t>
            </w:r>
          </w:p>
        </w:tc>
        <w:tc>
          <w:tcPr>
            <w:tcW w:w="666" w:type="dxa"/>
          </w:tcPr>
          <w:p w14:paraId="2590E7BD" w14:textId="77777777" w:rsidR="003F684F" w:rsidRDefault="00000000">
            <w:pPr>
              <w:widowControl w:val="0"/>
              <w:rPr>
                <w:rFonts w:ascii="仿宋" w:eastAsia="仿宋" w:hAnsi="仿宋" w:cs="仿宋" w:hint="eastAsia"/>
              </w:rPr>
            </w:pPr>
            <w:r>
              <w:rPr>
                <w:rFonts w:ascii="仿宋" w:eastAsia="仿宋" w:hAnsi="仿宋" w:cs="仿宋" w:hint="eastAsia"/>
              </w:rPr>
              <w:t>台</w:t>
            </w:r>
          </w:p>
        </w:tc>
      </w:tr>
    </w:tbl>
    <w:p w14:paraId="405BE599" w14:textId="77777777" w:rsidR="009C6D43" w:rsidRPr="009C6D43" w:rsidRDefault="009C6D43" w:rsidP="009C6D43">
      <w:pPr>
        <w:pStyle w:val="10"/>
      </w:pPr>
      <w:r w:rsidRPr="009C6D43">
        <w:rPr>
          <w:rFonts w:hint="eastAsia"/>
        </w:rPr>
        <w:lastRenderedPageBreak/>
        <w:t>三、★商务要求</w:t>
      </w:r>
    </w:p>
    <w:p w14:paraId="2083FF77" w14:textId="77777777" w:rsidR="009C6D43" w:rsidRDefault="009C6D43" w:rsidP="009C6D43">
      <w:pPr>
        <w:pStyle w:val="2"/>
        <w:ind w:firstLineChars="200" w:firstLine="422"/>
        <w:contextualSpacing/>
        <w:rPr>
          <w:rFonts w:ascii="宋体" w:eastAsia="宋体" w:hAnsi="宋体" w:cs="宋体" w:hint="eastAsia"/>
          <w:bCs w:val="0"/>
          <w:sz w:val="21"/>
          <w:szCs w:val="21"/>
        </w:rPr>
      </w:pPr>
      <w:r>
        <w:rPr>
          <w:rFonts w:ascii="宋体" w:eastAsia="宋体" w:hAnsi="宋体" w:cs="宋体" w:hint="eastAsia"/>
          <w:bCs w:val="0"/>
          <w:sz w:val="21"/>
          <w:szCs w:val="21"/>
        </w:rPr>
        <w:t>1．安装及交货</w:t>
      </w:r>
    </w:p>
    <w:p w14:paraId="02EC4CC1" w14:textId="795EE0D0" w:rsidR="009C6D43" w:rsidRDefault="009C6D43" w:rsidP="009C6D43">
      <w:pPr>
        <w:pStyle w:val="2"/>
        <w:ind w:firstLineChars="200" w:firstLine="420"/>
        <w:contextualSpacing/>
        <w:rPr>
          <w:rFonts w:ascii="宋体" w:eastAsia="宋体" w:hAnsi="宋体" w:cs="宋体" w:hint="eastAsia"/>
          <w:b w:val="0"/>
          <w:bCs w:val="0"/>
          <w:sz w:val="21"/>
          <w:szCs w:val="21"/>
        </w:rPr>
      </w:pPr>
      <w:r>
        <w:rPr>
          <w:rFonts w:ascii="宋体" w:eastAsia="宋体" w:hAnsi="宋体" w:cs="宋体" w:hint="eastAsia"/>
          <w:b w:val="0"/>
          <w:bCs w:val="0"/>
          <w:sz w:val="21"/>
          <w:szCs w:val="21"/>
        </w:rPr>
        <w:t>中标方根据招标方通知的交货时间节点分院区分批次发货并免费安装，安装及交货地点： 四川省妇幼保健院。</w:t>
      </w:r>
    </w:p>
    <w:p w14:paraId="3E493765" w14:textId="77777777" w:rsidR="009C6D43" w:rsidRDefault="009C6D43" w:rsidP="009C6D43">
      <w:pPr>
        <w:pStyle w:val="2"/>
        <w:ind w:firstLineChars="200" w:firstLine="422"/>
        <w:contextualSpacing/>
        <w:rPr>
          <w:rFonts w:ascii="宋体" w:eastAsia="宋体" w:hAnsi="宋体" w:cs="宋体" w:hint="eastAsia"/>
          <w:b w:val="0"/>
          <w:bCs w:val="0"/>
          <w:sz w:val="21"/>
          <w:szCs w:val="21"/>
        </w:rPr>
      </w:pPr>
      <w:r>
        <w:rPr>
          <w:rFonts w:ascii="宋体" w:eastAsia="宋体" w:hAnsi="宋体" w:cs="宋体" w:hint="eastAsia"/>
          <w:bCs w:val="0"/>
          <w:sz w:val="21"/>
          <w:szCs w:val="21"/>
        </w:rPr>
        <w:t>2．付款方法和条件：</w:t>
      </w:r>
      <w:r>
        <w:rPr>
          <w:rFonts w:ascii="宋体" w:eastAsia="宋体" w:hAnsi="宋体" w:cs="宋体" w:hint="eastAsia"/>
          <w:b w:val="0"/>
          <w:bCs w:val="0"/>
          <w:sz w:val="21"/>
          <w:szCs w:val="21"/>
        </w:rPr>
        <w:t xml:space="preserve"> </w:t>
      </w:r>
    </w:p>
    <w:p w14:paraId="19DEE8C6" w14:textId="77777777" w:rsidR="009C6D43" w:rsidRDefault="009C6D43" w:rsidP="009C6D43">
      <w:pPr>
        <w:spacing w:line="360" w:lineRule="auto"/>
        <w:ind w:firstLineChars="200" w:firstLine="420"/>
        <w:contextualSpacing/>
        <w:rPr>
          <w:rFonts w:ascii="宋体" w:hAnsi="宋体" w:cs="宋体" w:hint="eastAsia"/>
        </w:rPr>
      </w:pPr>
      <w:r>
        <w:rPr>
          <w:rFonts w:ascii="宋体" w:hAnsi="宋体" w:cs="宋体" w:hint="eastAsia"/>
        </w:rPr>
        <w:t>（1）验收完成并合格后，在</w:t>
      </w:r>
      <w:r>
        <w:rPr>
          <w:rFonts w:ascii="宋体" w:hAnsi="宋体" w:cs="宋体"/>
        </w:rPr>
        <w:t>60</w:t>
      </w:r>
      <w:r>
        <w:rPr>
          <w:rFonts w:ascii="宋体" w:hAnsi="宋体" w:cs="宋体" w:hint="eastAsia"/>
        </w:rPr>
        <w:t>日内，支付总金额的90%；</w:t>
      </w:r>
    </w:p>
    <w:p w14:paraId="1794BE90" w14:textId="77777777" w:rsidR="009C6D43" w:rsidRDefault="009C6D43" w:rsidP="009C6D43">
      <w:pPr>
        <w:spacing w:line="360" w:lineRule="auto"/>
        <w:ind w:firstLineChars="200" w:firstLine="420"/>
        <w:contextualSpacing/>
        <w:rPr>
          <w:rFonts w:ascii="宋体" w:hAnsi="宋体" w:cs="宋体" w:hint="eastAsia"/>
        </w:rPr>
      </w:pPr>
      <w:r>
        <w:rPr>
          <w:rFonts w:ascii="宋体" w:hAnsi="宋体" w:cs="宋体" w:hint="eastAsia"/>
        </w:rPr>
        <w:t>（2）验收期满1年后，</w:t>
      </w:r>
      <w:r>
        <w:rPr>
          <w:rFonts w:ascii="宋体" w:hAnsi="宋体" w:cs="宋体"/>
        </w:rPr>
        <w:t>60</w:t>
      </w:r>
      <w:r>
        <w:rPr>
          <w:rFonts w:ascii="宋体" w:hAnsi="宋体" w:cs="宋体" w:hint="eastAsia"/>
        </w:rPr>
        <w:t>日内支付合同总金额的10%。</w:t>
      </w:r>
    </w:p>
    <w:p w14:paraId="405F4A7E" w14:textId="77777777" w:rsidR="009C6D43" w:rsidRPr="00ED3F96" w:rsidRDefault="009C6D43" w:rsidP="009C6D43">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3</w:t>
      </w:r>
      <w:r>
        <w:rPr>
          <w:rFonts w:ascii="宋体" w:eastAsia="宋体" w:hAnsi="宋体" w:cs="宋体" w:hint="eastAsia"/>
          <w:bCs w:val="0"/>
          <w:sz w:val="21"/>
          <w:szCs w:val="21"/>
        </w:rPr>
        <w:t>．质保期</w:t>
      </w:r>
      <w:r>
        <w:rPr>
          <w:rFonts w:ascii="宋体" w:eastAsia="宋体" w:hAnsi="宋体" w:cs="宋体" w:hint="eastAsia"/>
          <w:b w:val="0"/>
          <w:bCs w:val="0"/>
          <w:sz w:val="21"/>
          <w:szCs w:val="21"/>
        </w:rPr>
        <w:t xml:space="preserve"> </w:t>
      </w:r>
    </w:p>
    <w:p w14:paraId="22B995BF" w14:textId="77777777" w:rsidR="009C6D43" w:rsidRPr="00ED3F96" w:rsidRDefault="009C6D43" w:rsidP="009C6D43">
      <w:pPr>
        <w:pStyle w:val="af1"/>
        <w:ind w:firstLineChars="200" w:firstLine="420"/>
      </w:pPr>
      <w:r>
        <w:rPr>
          <w:rFonts w:ascii="宋体" w:hAnsi="宋体" w:cs="宋体" w:hint="eastAsia"/>
          <w:color w:val="000000" w:themeColor="text1"/>
          <w:szCs w:val="21"/>
        </w:rPr>
        <w:t>整机质保</w:t>
      </w:r>
      <w:r>
        <w:rPr>
          <w:rFonts w:ascii="宋体" w:hAnsi="宋体" w:cs="宋体" w:hint="eastAsia"/>
          <w:szCs w:val="21"/>
        </w:rPr>
        <w:t>≥</w:t>
      </w:r>
      <w:r>
        <w:rPr>
          <w:rFonts w:ascii="宋体" w:hAnsi="宋体" w:cs="宋体" w:hint="eastAsia"/>
          <w:color w:val="000000" w:themeColor="text1"/>
          <w:szCs w:val="21"/>
        </w:rPr>
        <w:t>三年，质保期内产品更换或维修费用由投标人承担。</w:t>
      </w:r>
    </w:p>
    <w:p w14:paraId="44B28F49" w14:textId="77777777" w:rsidR="009C6D43" w:rsidRDefault="009C6D43" w:rsidP="009C6D43">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4</w:t>
      </w:r>
      <w:r>
        <w:rPr>
          <w:rFonts w:ascii="宋体" w:eastAsia="宋体" w:hAnsi="宋体" w:cs="宋体" w:hint="eastAsia"/>
          <w:bCs w:val="0"/>
          <w:sz w:val="21"/>
          <w:szCs w:val="21"/>
        </w:rPr>
        <w:t>、验收标准：</w:t>
      </w:r>
    </w:p>
    <w:p w14:paraId="112FC7A0" w14:textId="77777777" w:rsidR="009C6D43" w:rsidRDefault="009C6D43" w:rsidP="009C6D43">
      <w:pPr>
        <w:spacing w:line="360" w:lineRule="auto"/>
        <w:ind w:firstLineChars="200" w:firstLine="420"/>
        <w:contextualSpacing/>
        <w:rPr>
          <w:rFonts w:ascii="宋体" w:hAnsi="宋体" w:cs="宋体" w:hint="eastAsia"/>
          <w:bCs/>
        </w:rPr>
      </w:pPr>
      <w:r>
        <w:rPr>
          <w:rFonts w:ascii="宋体" w:hAnsi="宋体" w:cs="宋体" w:hint="eastAsia"/>
          <w:bCs/>
        </w:rPr>
        <w:t>1）中标人与采购人将严格按照《财政部关于进一步加强政府采购需求和履约验收管理的指导意见》(财库〔2016〕205号)的要求进行验收。</w:t>
      </w:r>
    </w:p>
    <w:p w14:paraId="62729A48" w14:textId="36FA5D52" w:rsidR="003F684F" w:rsidRPr="009C6D43" w:rsidRDefault="009C6D43" w:rsidP="009C6D43">
      <w:pPr>
        <w:spacing w:after="160" w:line="360" w:lineRule="auto"/>
        <w:ind w:firstLineChars="200" w:firstLine="420"/>
        <w:contextualSpacing/>
        <w:rPr>
          <w:rFonts w:ascii="宋体" w:hAnsi="宋体" w:cs="宋体" w:hint="eastAsia"/>
        </w:rPr>
      </w:pPr>
      <w:r>
        <w:rPr>
          <w:rFonts w:ascii="宋体" w:hAnsi="宋体" w:cs="宋体" w:hint="eastAsia"/>
        </w:rPr>
        <w:t>2）以招标文件技术参数及要求和相关行业标准为准。</w:t>
      </w:r>
    </w:p>
    <w:p w14:paraId="6195A5BA" w14:textId="07C49882" w:rsidR="003F684F" w:rsidRPr="00A04E02" w:rsidRDefault="00A04E02" w:rsidP="00A04E02">
      <w:pPr>
        <w:pStyle w:val="10"/>
      </w:pPr>
      <w:r>
        <w:rPr>
          <w:rFonts w:hint="eastAsia"/>
        </w:rPr>
        <w:t>四、</w:t>
      </w:r>
      <w:r w:rsidRPr="00A04E02">
        <w:rPr>
          <w:rFonts w:hint="eastAsia"/>
        </w:rPr>
        <w:t>评分标准</w:t>
      </w:r>
    </w:p>
    <w:tbl>
      <w:tblPr>
        <w:tblpPr w:leftFromText="180" w:rightFromText="180" w:vertAnchor="text" w:horzAnchor="margin" w:tblpXSpec="center" w:tblpY="480"/>
        <w:tblOverlap w:val="never"/>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417"/>
        <w:gridCol w:w="465"/>
        <w:gridCol w:w="5365"/>
        <w:gridCol w:w="838"/>
      </w:tblGrid>
      <w:tr w:rsidR="003F684F" w14:paraId="55CE7E95" w14:textId="77777777">
        <w:trPr>
          <w:cantSplit/>
          <w:trHeight w:val="337"/>
        </w:trPr>
        <w:tc>
          <w:tcPr>
            <w:tcW w:w="421" w:type="dxa"/>
            <w:vAlign w:val="center"/>
          </w:tcPr>
          <w:p w14:paraId="4503CE26"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序号</w:t>
            </w:r>
          </w:p>
        </w:tc>
        <w:tc>
          <w:tcPr>
            <w:tcW w:w="1417" w:type="dxa"/>
            <w:vAlign w:val="center"/>
          </w:tcPr>
          <w:p w14:paraId="3E087221"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评分因素及权重</w:t>
            </w:r>
          </w:p>
        </w:tc>
        <w:tc>
          <w:tcPr>
            <w:tcW w:w="465" w:type="dxa"/>
            <w:vAlign w:val="center"/>
          </w:tcPr>
          <w:p w14:paraId="650F2C29"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分值</w:t>
            </w:r>
          </w:p>
        </w:tc>
        <w:tc>
          <w:tcPr>
            <w:tcW w:w="5365" w:type="dxa"/>
            <w:vAlign w:val="center"/>
          </w:tcPr>
          <w:p w14:paraId="121E0860"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评分标准</w:t>
            </w:r>
          </w:p>
        </w:tc>
        <w:tc>
          <w:tcPr>
            <w:tcW w:w="838" w:type="dxa"/>
            <w:vAlign w:val="center"/>
          </w:tcPr>
          <w:p w14:paraId="2533F86F"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说明</w:t>
            </w:r>
          </w:p>
        </w:tc>
      </w:tr>
      <w:tr w:rsidR="003F684F" w14:paraId="6327C410" w14:textId="77777777">
        <w:trPr>
          <w:cantSplit/>
          <w:trHeight w:val="799"/>
        </w:trPr>
        <w:tc>
          <w:tcPr>
            <w:tcW w:w="421" w:type="dxa"/>
            <w:vAlign w:val="center"/>
          </w:tcPr>
          <w:p w14:paraId="6DDB062C"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w:t>
            </w:r>
          </w:p>
        </w:tc>
        <w:tc>
          <w:tcPr>
            <w:tcW w:w="1417" w:type="dxa"/>
            <w:vAlign w:val="center"/>
          </w:tcPr>
          <w:p w14:paraId="0688C358"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报价30%</w:t>
            </w:r>
          </w:p>
        </w:tc>
        <w:tc>
          <w:tcPr>
            <w:tcW w:w="465" w:type="dxa"/>
            <w:vAlign w:val="center"/>
          </w:tcPr>
          <w:p w14:paraId="47BAB619"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3</w:t>
            </w:r>
            <w:r>
              <w:rPr>
                <w:rFonts w:ascii="仿宋" w:eastAsia="仿宋" w:hAnsi="仿宋" w:cs="仿宋"/>
                <w:szCs w:val="18"/>
              </w:rPr>
              <w:t>0</w:t>
            </w:r>
          </w:p>
        </w:tc>
        <w:tc>
          <w:tcPr>
            <w:tcW w:w="5365" w:type="dxa"/>
            <w:vAlign w:val="center"/>
          </w:tcPr>
          <w:p w14:paraId="60E8C096"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1、以满足招标文件要求且投标价格最低的投标报价为基准价，投标报价得分</w:t>
            </w:r>
            <w:r>
              <w:rPr>
                <w:rFonts w:ascii="仿宋" w:eastAsia="仿宋" w:hAnsi="仿宋" w:cs="仿宋"/>
                <w:szCs w:val="18"/>
              </w:rPr>
              <w:t>=(基准价／投标报价)</w:t>
            </w:r>
            <w:r>
              <w:rPr>
                <w:rFonts w:ascii="仿宋" w:eastAsia="仿宋" w:hAnsi="仿宋" w:cs="仿宋" w:hint="eastAsia"/>
                <w:szCs w:val="18"/>
              </w:rPr>
              <w:t>×3</w:t>
            </w:r>
            <w:r>
              <w:rPr>
                <w:rFonts w:ascii="仿宋" w:eastAsia="仿宋" w:hAnsi="仿宋" w:cs="仿宋"/>
                <w:szCs w:val="18"/>
              </w:rPr>
              <w:t>0</w:t>
            </w:r>
            <w:r>
              <w:rPr>
                <w:rFonts w:ascii="仿宋" w:eastAsia="仿宋" w:hAnsi="仿宋" w:cs="仿宋" w:hint="eastAsia"/>
                <w:szCs w:val="18"/>
              </w:rPr>
              <w:t>（保留两位小数）</w:t>
            </w:r>
          </w:p>
        </w:tc>
        <w:tc>
          <w:tcPr>
            <w:tcW w:w="838" w:type="dxa"/>
            <w:vAlign w:val="center"/>
          </w:tcPr>
          <w:p w14:paraId="5C311CB9" w14:textId="507723C4" w:rsidR="003F684F" w:rsidRDefault="00A04E02">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共同评分因素</w:t>
            </w:r>
          </w:p>
        </w:tc>
      </w:tr>
      <w:tr w:rsidR="003F684F" w14:paraId="3F004163" w14:textId="77777777">
        <w:trPr>
          <w:cantSplit/>
          <w:trHeight w:val="580"/>
        </w:trPr>
        <w:tc>
          <w:tcPr>
            <w:tcW w:w="421" w:type="dxa"/>
            <w:vAlign w:val="center"/>
          </w:tcPr>
          <w:p w14:paraId="0799985F"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2</w:t>
            </w:r>
          </w:p>
        </w:tc>
        <w:tc>
          <w:tcPr>
            <w:tcW w:w="1417" w:type="dxa"/>
            <w:vAlign w:val="center"/>
          </w:tcPr>
          <w:p w14:paraId="2A771FF9"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技术指标和配置36</w:t>
            </w:r>
            <w:r>
              <w:rPr>
                <w:rFonts w:ascii="仿宋" w:eastAsia="仿宋" w:hAnsi="仿宋" w:cs="仿宋"/>
                <w:szCs w:val="18"/>
              </w:rPr>
              <w:t>%</w:t>
            </w:r>
          </w:p>
        </w:tc>
        <w:tc>
          <w:tcPr>
            <w:tcW w:w="465" w:type="dxa"/>
            <w:vAlign w:val="center"/>
          </w:tcPr>
          <w:p w14:paraId="3712546C"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36</w:t>
            </w:r>
          </w:p>
        </w:tc>
        <w:tc>
          <w:tcPr>
            <w:tcW w:w="5365" w:type="dxa"/>
            <w:vAlign w:val="center"/>
          </w:tcPr>
          <w:p w14:paraId="553D7937" w14:textId="3923FCBE"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1、完全符合招标文件要求没有负偏离得</w:t>
            </w:r>
            <w:r w:rsidR="00A04E02">
              <w:rPr>
                <w:rFonts w:ascii="仿宋" w:eastAsia="仿宋" w:hAnsi="仿宋" w:cs="仿宋" w:hint="eastAsia"/>
                <w:szCs w:val="18"/>
              </w:rPr>
              <w:t>36</w:t>
            </w:r>
            <w:r>
              <w:rPr>
                <w:rFonts w:ascii="仿宋" w:eastAsia="仿宋" w:hAnsi="仿宋" w:cs="仿宋" w:hint="eastAsia"/>
                <w:szCs w:val="18"/>
              </w:rPr>
              <w:t>分；</w:t>
            </w:r>
          </w:p>
          <w:p w14:paraId="326025D9" w14:textId="7709AEAD"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t>2</w:t>
            </w:r>
            <w:r>
              <w:rPr>
                <w:rFonts w:ascii="仿宋" w:eastAsia="仿宋" w:hAnsi="仿宋" w:cs="仿宋" w:hint="eastAsia"/>
                <w:szCs w:val="18"/>
              </w:rPr>
              <w:t>、标注</w:t>
            </w:r>
            <w:r>
              <w:rPr>
                <w:rFonts w:ascii="仿宋" w:eastAsia="仿宋" w:hAnsi="仿宋" w:cs="仿宋"/>
                <w:szCs w:val="18"/>
              </w:rPr>
              <w:t>★</w:t>
            </w:r>
            <w:r>
              <w:rPr>
                <w:rFonts w:ascii="仿宋" w:eastAsia="仿宋" w:hAnsi="仿宋" w:cs="仿宋" w:hint="eastAsia"/>
                <w:szCs w:val="18"/>
              </w:rPr>
              <w:t>的参数为实质性要求，不满足</w:t>
            </w:r>
            <w:r w:rsidR="00347601">
              <w:rPr>
                <w:rFonts w:ascii="仿宋" w:eastAsia="仿宋" w:hAnsi="仿宋" w:cs="仿宋" w:hint="eastAsia"/>
                <w:szCs w:val="18"/>
              </w:rPr>
              <w:t>作</w:t>
            </w:r>
            <w:r>
              <w:rPr>
                <w:rFonts w:ascii="仿宋" w:eastAsia="仿宋" w:hAnsi="仿宋" w:cs="仿宋" w:hint="eastAsia"/>
                <w:szCs w:val="18"/>
              </w:rPr>
              <w:t>废标处理。</w:t>
            </w:r>
          </w:p>
          <w:p w14:paraId="2D98BAC4" w14:textId="264F2501"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t>3</w:t>
            </w:r>
            <w:r>
              <w:rPr>
                <w:rFonts w:ascii="仿宋" w:eastAsia="仿宋" w:hAnsi="仿宋" w:cs="仿宋" w:hint="eastAsia"/>
                <w:szCs w:val="18"/>
              </w:rPr>
              <w:t>、标注▲的重要技术参数，有负偏离或不满足的，一项扣3分；</w:t>
            </w:r>
            <w:r w:rsidR="00347601">
              <w:rPr>
                <w:rFonts w:ascii="仿宋" w:eastAsia="仿宋" w:hAnsi="仿宋" w:cs="仿宋" w:hint="eastAsia"/>
                <w:szCs w:val="18"/>
              </w:rPr>
              <w:t>一般</w:t>
            </w:r>
            <w:r>
              <w:rPr>
                <w:rFonts w:ascii="仿宋" w:eastAsia="仿宋" w:hAnsi="仿宋" w:cs="仿宋" w:hint="eastAsia"/>
                <w:szCs w:val="18"/>
              </w:rPr>
              <w:t>参数与招标文件要求有负偏离的，一项扣</w:t>
            </w:r>
            <w:r w:rsidR="00347601">
              <w:rPr>
                <w:rFonts w:ascii="仿宋" w:eastAsia="仿宋" w:hAnsi="仿宋" w:cs="仿宋" w:hint="eastAsia"/>
                <w:szCs w:val="18"/>
              </w:rPr>
              <w:t>1</w:t>
            </w:r>
            <w:r>
              <w:rPr>
                <w:rFonts w:ascii="仿宋" w:eastAsia="仿宋" w:hAnsi="仿宋" w:cs="仿宋" w:hint="eastAsia"/>
                <w:szCs w:val="18"/>
              </w:rPr>
              <w:t>分，扣完为止。</w:t>
            </w:r>
          </w:p>
          <w:p w14:paraId="5741CF3D" w14:textId="77777777" w:rsidR="003F684F" w:rsidRDefault="003F684F">
            <w:pPr>
              <w:pStyle w:val="af0"/>
              <w:widowControl w:val="0"/>
              <w:ind w:firstLineChars="0" w:firstLine="0"/>
              <w:rPr>
                <w:rFonts w:ascii="仿宋" w:eastAsia="仿宋" w:hAnsi="仿宋" w:cs="仿宋" w:hint="eastAsia"/>
                <w:szCs w:val="18"/>
              </w:rPr>
            </w:pPr>
          </w:p>
        </w:tc>
        <w:tc>
          <w:tcPr>
            <w:tcW w:w="838" w:type="dxa"/>
            <w:vAlign w:val="center"/>
          </w:tcPr>
          <w:p w14:paraId="12B82F6E" w14:textId="6B27AED7" w:rsidR="003F684F" w:rsidRDefault="00A04E02">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技术评分因素</w:t>
            </w:r>
          </w:p>
        </w:tc>
      </w:tr>
      <w:tr w:rsidR="003F684F" w14:paraId="191E7BB2" w14:textId="77777777" w:rsidTr="00A04E02">
        <w:trPr>
          <w:cantSplit/>
          <w:trHeight w:val="4101"/>
        </w:trPr>
        <w:tc>
          <w:tcPr>
            <w:tcW w:w="421" w:type="dxa"/>
            <w:vAlign w:val="center"/>
          </w:tcPr>
          <w:p w14:paraId="07D9562C"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lastRenderedPageBreak/>
              <w:t>3</w:t>
            </w:r>
          </w:p>
        </w:tc>
        <w:tc>
          <w:tcPr>
            <w:tcW w:w="1417" w:type="dxa"/>
            <w:vAlign w:val="center"/>
          </w:tcPr>
          <w:p w14:paraId="37CB9C58"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产品质量及投标人履约能力</w:t>
            </w:r>
            <w:r>
              <w:rPr>
                <w:rFonts w:ascii="仿宋" w:eastAsia="仿宋" w:hAnsi="仿宋" w:cs="仿宋"/>
                <w:szCs w:val="18"/>
              </w:rPr>
              <w:t>1</w:t>
            </w:r>
            <w:r>
              <w:rPr>
                <w:rFonts w:ascii="仿宋" w:eastAsia="仿宋" w:hAnsi="仿宋" w:cs="仿宋" w:hint="eastAsia"/>
                <w:szCs w:val="18"/>
              </w:rPr>
              <w:t>0%</w:t>
            </w:r>
          </w:p>
        </w:tc>
        <w:tc>
          <w:tcPr>
            <w:tcW w:w="465" w:type="dxa"/>
            <w:vAlign w:val="center"/>
          </w:tcPr>
          <w:p w14:paraId="1939A4F4"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t>1</w:t>
            </w:r>
            <w:r>
              <w:rPr>
                <w:rFonts w:ascii="仿宋" w:eastAsia="仿宋" w:hAnsi="仿宋" w:cs="仿宋" w:hint="eastAsia"/>
                <w:szCs w:val="18"/>
              </w:rPr>
              <w:t>0</w:t>
            </w:r>
          </w:p>
        </w:tc>
        <w:tc>
          <w:tcPr>
            <w:tcW w:w="5365" w:type="dxa"/>
          </w:tcPr>
          <w:p w14:paraId="5379D4F8"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1、</w:t>
            </w:r>
            <w:r>
              <w:rPr>
                <w:rFonts w:ascii="仿宋" w:eastAsia="仿宋" w:hAnsi="仿宋" w:cs="仿宋"/>
                <w:szCs w:val="18"/>
              </w:rPr>
              <w:t>为保证</w:t>
            </w:r>
            <w:r>
              <w:rPr>
                <w:rFonts w:ascii="仿宋" w:eastAsia="仿宋" w:hAnsi="仿宋" w:cs="仿宋" w:hint="eastAsia"/>
                <w:szCs w:val="18"/>
              </w:rPr>
              <w:t>所投产品（国产化超融合资源池）相关平台</w:t>
            </w:r>
            <w:r>
              <w:rPr>
                <w:rFonts w:ascii="仿宋" w:eastAsia="仿宋" w:hAnsi="仿宋" w:cs="仿宋"/>
                <w:szCs w:val="18"/>
              </w:rPr>
              <w:t>的登录账号安全性，要求</w:t>
            </w:r>
            <w:r>
              <w:rPr>
                <w:rFonts w:ascii="仿宋" w:eastAsia="仿宋" w:hAnsi="仿宋" w:cs="仿宋" w:hint="eastAsia"/>
                <w:szCs w:val="18"/>
              </w:rPr>
              <w:t>所投产品的生产</w:t>
            </w:r>
            <w:r>
              <w:rPr>
                <w:rFonts w:ascii="仿宋" w:eastAsia="仿宋" w:hAnsi="仿宋" w:cs="仿宋"/>
                <w:szCs w:val="18"/>
              </w:rPr>
              <w:t>厂商提供中国信息安全测评中心、公安部信息安全产品检测中心、国家版权局等任一家国家权威机构颁发的“用户账号安全”/“账号安全保护”/“安全账号识别”的任一证书得5分，未提供不得分。</w:t>
            </w:r>
            <w:r>
              <w:rPr>
                <w:rFonts w:ascii="仿宋" w:eastAsia="仿宋" w:hAnsi="仿宋" w:cs="仿宋" w:hint="eastAsia"/>
                <w:szCs w:val="18"/>
              </w:rPr>
              <w:t>（</w:t>
            </w:r>
            <w:r>
              <w:rPr>
                <w:rFonts w:ascii="仿宋" w:eastAsia="仿宋" w:hAnsi="仿宋" w:cs="仿宋"/>
                <w:szCs w:val="18"/>
              </w:rPr>
              <w:t>需提供相关证明材料并加盖投标人公章</w:t>
            </w:r>
            <w:r>
              <w:rPr>
                <w:rFonts w:ascii="仿宋" w:eastAsia="仿宋" w:hAnsi="仿宋" w:cs="仿宋" w:hint="eastAsia"/>
                <w:szCs w:val="18"/>
              </w:rPr>
              <w:t>）</w:t>
            </w:r>
          </w:p>
          <w:p w14:paraId="03EC0E02" w14:textId="3126469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2、为确保所投产品（国产化超融合资源池）在生产、开发、应用环节都要符合相关规定要求，提供所投产品制造商的中国信息安全测评中心或中华人民共和国工业和信息化部或公安部信息安全产品检测中心颁发的安全开发类</w:t>
            </w:r>
            <w:r w:rsidR="005620F3">
              <w:rPr>
                <w:rFonts w:ascii="仿宋" w:eastAsia="仿宋" w:hAnsi="仿宋" w:cs="仿宋" w:hint="eastAsia"/>
                <w:szCs w:val="18"/>
              </w:rPr>
              <w:t>任意一个</w:t>
            </w:r>
            <w:r>
              <w:rPr>
                <w:rFonts w:ascii="仿宋" w:eastAsia="仿宋" w:hAnsi="仿宋" w:cs="仿宋" w:hint="eastAsia"/>
                <w:szCs w:val="18"/>
              </w:rPr>
              <w:t>服务资质证书，提供得</w:t>
            </w:r>
            <w:r>
              <w:rPr>
                <w:rFonts w:ascii="仿宋" w:eastAsia="仿宋" w:hAnsi="仿宋" w:cs="仿宋"/>
                <w:szCs w:val="18"/>
              </w:rPr>
              <w:t>5</w:t>
            </w:r>
            <w:r>
              <w:rPr>
                <w:rFonts w:ascii="仿宋" w:eastAsia="仿宋" w:hAnsi="仿宋" w:cs="仿宋" w:hint="eastAsia"/>
                <w:szCs w:val="18"/>
              </w:rPr>
              <w:t>分，未提供不得分。（</w:t>
            </w:r>
            <w:r>
              <w:rPr>
                <w:rFonts w:ascii="仿宋" w:eastAsia="仿宋" w:hAnsi="仿宋" w:cs="仿宋"/>
                <w:szCs w:val="18"/>
              </w:rPr>
              <w:t>需提供相关证明材料并加盖投标人公章</w:t>
            </w:r>
            <w:r>
              <w:rPr>
                <w:rFonts w:ascii="仿宋" w:eastAsia="仿宋" w:hAnsi="仿宋" w:cs="仿宋" w:hint="eastAsia"/>
                <w:szCs w:val="18"/>
              </w:rPr>
              <w:t>）</w:t>
            </w:r>
          </w:p>
          <w:p w14:paraId="11E20306" w14:textId="77777777" w:rsidR="003F684F" w:rsidRDefault="003F684F">
            <w:pPr>
              <w:pStyle w:val="af0"/>
              <w:widowControl w:val="0"/>
              <w:ind w:firstLineChars="0" w:firstLine="0"/>
              <w:rPr>
                <w:rFonts w:ascii="仿宋" w:eastAsia="仿宋" w:hAnsi="仿宋" w:cs="仿宋" w:hint="eastAsia"/>
                <w:szCs w:val="18"/>
              </w:rPr>
            </w:pPr>
          </w:p>
        </w:tc>
        <w:tc>
          <w:tcPr>
            <w:tcW w:w="838" w:type="dxa"/>
            <w:vAlign w:val="center"/>
          </w:tcPr>
          <w:p w14:paraId="269ABBAC" w14:textId="6C6B6730" w:rsidR="003F684F" w:rsidRDefault="00A04E02">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共同评分因素</w:t>
            </w:r>
          </w:p>
        </w:tc>
      </w:tr>
      <w:tr w:rsidR="003F684F" w14:paraId="7A219DF9" w14:textId="77777777">
        <w:trPr>
          <w:cantSplit/>
          <w:trHeight w:val="3007"/>
        </w:trPr>
        <w:tc>
          <w:tcPr>
            <w:tcW w:w="421" w:type="dxa"/>
            <w:vAlign w:val="center"/>
          </w:tcPr>
          <w:p w14:paraId="417C16B5"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4</w:t>
            </w:r>
          </w:p>
        </w:tc>
        <w:tc>
          <w:tcPr>
            <w:tcW w:w="1417" w:type="dxa"/>
            <w:vAlign w:val="center"/>
          </w:tcPr>
          <w:p w14:paraId="507FFCB0"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实施方案</w:t>
            </w:r>
            <w:r>
              <w:rPr>
                <w:rFonts w:ascii="仿宋" w:eastAsia="仿宋" w:hAnsi="仿宋" w:cs="仿宋"/>
                <w:szCs w:val="18"/>
              </w:rPr>
              <w:t>1</w:t>
            </w:r>
            <w:r>
              <w:rPr>
                <w:rFonts w:ascii="仿宋" w:eastAsia="仿宋" w:hAnsi="仿宋" w:cs="仿宋" w:hint="eastAsia"/>
                <w:szCs w:val="18"/>
              </w:rPr>
              <w:t>2</w:t>
            </w:r>
            <w:r>
              <w:rPr>
                <w:rFonts w:ascii="仿宋" w:eastAsia="仿宋" w:hAnsi="仿宋" w:cs="仿宋"/>
                <w:szCs w:val="18"/>
              </w:rPr>
              <w:t>%</w:t>
            </w:r>
          </w:p>
        </w:tc>
        <w:tc>
          <w:tcPr>
            <w:tcW w:w="465" w:type="dxa"/>
            <w:vAlign w:val="center"/>
          </w:tcPr>
          <w:p w14:paraId="590DCB18"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t>1</w:t>
            </w:r>
            <w:r>
              <w:rPr>
                <w:rFonts w:ascii="仿宋" w:eastAsia="仿宋" w:hAnsi="仿宋" w:cs="仿宋" w:hint="eastAsia"/>
                <w:szCs w:val="18"/>
              </w:rPr>
              <w:t>2</w:t>
            </w:r>
          </w:p>
        </w:tc>
        <w:tc>
          <w:tcPr>
            <w:tcW w:w="5365" w:type="dxa"/>
            <w:vAlign w:val="center"/>
          </w:tcPr>
          <w:p w14:paraId="01354BC9" w14:textId="43F1C441"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根据投标人对本项目提供的实施方案进行评审包含:①进度管理;②供货安排;③人员安排;④安装调试。对技术实施的内容合理性、全面性进行综合比较评分：内容详实且合理可行、不含缺陷和错误得12分，内容详实但可行性一般、不含缺陷和错误的每项扣1分，内容不详实、不含缺陷和错误的每项扣2分</w:t>
            </w:r>
            <w:r w:rsidR="001363D0">
              <w:rPr>
                <w:rFonts w:ascii="仿宋" w:eastAsia="仿宋" w:hAnsi="仿宋" w:cs="仿宋" w:hint="eastAsia"/>
                <w:szCs w:val="18"/>
              </w:rPr>
              <w:t>，缺一项或者每项存在缺陷或者错误扣的扣3分</w:t>
            </w:r>
            <w:r>
              <w:rPr>
                <w:rFonts w:ascii="仿宋" w:eastAsia="仿宋" w:hAnsi="仿宋" w:cs="仿宋" w:hint="eastAsia"/>
                <w:szCs w:val="18"/>
              </w:rPr>
              <w:t>。</w:t>
            </w:r>
          </w:p>
          <w:p w14:paraId="74A91F5B"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注:缺陷或错误指:项目名称、实施地点、技术的规范、标准与本项目要求不一致或方案描写过于简略、内容存在凭空想象与编造、内容与实际实施存在差异性，方案无条理性、编排混乱、语义表述不清，存在歧义、混乱等情形。</w:t>
            </w:r>
          </w:p>
        </w:tc>
        <w:tc>
          <w:tcPr>
            <w:tcW w:w="838" w:type="dxa"/>
            <w:vAlign w:val="center"/>
          </w:tcPr>
          <w:p w14:paraId="1724CEE3" w14:textId="6F628AA8" w:rsidR="003F684F" w:rsidRDefault="00A04E02">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共同评分因素</w:t>
            </w:r>
          </w:p>
        </w:tc>
      </w:tr>
      <w:tr w:rsidR="003F684F" w14:paraId="6D4669DE" w14:textId="77777777">
        <w:trPr>
          <w:cantSplit/>
          <w:trHeight w:val="632"/>
        </w:trPr>
        <w:tc>
          <w:tcPr>
            <w:tcW w:w="421" w:type="dxa"/>
            <w:tcBorders>
              <w:top w:val="single" w:sz="4" w:space="0" w:color="auto"/>
              <w:left w:val="single" w:sz="4" w:space="0" w:color="auto"/>
              <w:bottom w:val="single" w:sz="4" w:space="0" w:color="auto"/>
              <w:right w:val="single" w:sz="4" w:space="0" w:color="auto"/>
            </w:tcBorders>
            <w:vAlign w:val="center"/>
          </w:tcPr>
          <w:p w14:paraId="76B64C8B"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4AA370B3"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售后服务</w:t>
            </w:r>
            <w:r>
              <w:rPr>
                <w:rFonts w:ascii="仿宋" w:eastAsia="仿宋" w:hAnsi="仿宋" w:cs="仿宋"/>
                <w:szCs w:val="18"/>
              </w:rPr>
              <w:t>1</w:t>
            </w:r>
            <w:r>
              <w:rPr>
                <w:rFonts w:ascii="仿宋" w:eastAsia="仿宋" w:hAnsi="仿宋" w:cs="仿宋" w:hint="eastAsia"/>
                <w:szCs w:val="18"/>
              </w:rPr>
              <w:t>2%</w:t>
            </w:r>
          </w:p>
        </w:tc>
        <w:tc>
          <w:tcPr>
            <w:tcW w:w="465" w:type="dxa"/>
            <w:tcBorders>
              <w:top w:val="single" w:sz="4" w:space="0" w:color="auto"/>
              <w:left w:val="single" w:sz="4" w:space="0" w:color="auto"/>
              <w:bottom w:val="single" w:sz="4" w:space="0" w:color="auto"/>
              <w:right w:val="single" w:sz="4" w:space="0" w:color="auto"/>
            </w:tcBorders>
            <w:vAlign w:val="center"/>
          </w:tcPr>
          <w:p w14:paraId="7B2754C5" w14:textId="77777777"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szCs w:val="18"/>
              </w:rPr>
              <w:t>1</w:t>
            </w:r>
            <w:r>
              <w:rPr>
                <w:rFonts w:ascii="仿宋" w:eastAsia="仿宋" w:hAnsi="仿宋" w:cs="仿宋" w:hint="eastAsia"/>
                <w:szCs w:val="18"/>
              </w:rPr>
              <w:t>2</w:t>
            </w:r>
          </w:p>
        </w:tc>
        <w:tc>
          <w:tcPr>
            <w:tcW w:w="5365" w:type="dxa"/>
            <w:tcBorders>
              <w:top w:val="single" w:sz="4" w:space="0" w:color="auto"/>
              <w:left w:val="single" w:sz="4" w:space="0" w:color="auto"/>
              <w:bottom w:val="single" w:sz="4" w:space="0" w:color="auto"/>
              <w:right w:val="single" w:sz="4" w:space="0" w:color="auto"/>
            </w:tcBorders>
            <w:vAlign w:val="center"/>
          </w:tcPr>
          <w:p w14:paraId="2EEC104A" w14:textId="453EDF50"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根据投标人针对项目编制的售后服务方案进行评审包含：①售后服务人员配置及联系电话；②系统更新服务方案；③售后巡检服务方案；④故障处理方案。对项目售后服务内容的合理性、全面性进行综合比较评分：内容详实且合理可行、不含缺陷和错误得12分，</w:t>
            </w:r>
            <w:r w:rsidR="00E967C7">
              <w:rPr>
                <w:rFonts w:ascii="仿宋" w:eastAsia="仿宋" w:hAnsi="仿宋" w:cs="仿宋" w:hint="eastAsia"/>
                <w:szCs w:val="18"/>
              </w:rPr>
              <w:t>每一项</w:t>
            </w:r>
            <w:r w:rsidR="001363D0">
              <w:rPr>
                <w:rFonts w:ascii="仿宋" w:eastAsia="仿宋" w:hAnsi="仿宋" w:cs="仿宋" w:hint="eastAsia"/>
                <w:szCs w:val="18"/>
              </w:rPr>
              <w:t>内容</w:t>
            </w:r>
            <w:r>
              <w:rPr>
                <w:rFonts w:ascii="仿宋" w:eastAsia="仿宋" w:hAnsi="仿宋" w:cs="仿宋" w:hint="eastAsia"/>
                <w:szCs w:val="18"/>
              </w:rPr>
              <w:t>详实但可行性一般、不含缺陷和错误的每项扣1分，</w:t>
            </w:r>
            <w:r w:rsidR="00E967C7">
              <w:rPr>
                <w:rFonts w:ascii="仿宋" w:eastAsia="仿宋" w:hAnsi="仿宋" w:cs="仿宋" w:hint="eastAsia"/>
                <w:szCs w:val="18"/>
              </w:rPr>
              <w:t>每一项</w:t>
            </w:r>
            <w:r w:rsidR="001363D0">
              <w:rPr>
                <w:rFonts w:ascii="仿宋" w:eastAsia="仿宋" w:hAnsi="仿宋" w:cs="仿宋" w:hint="eastAsia"/>
                <w:szCs w:val="18"/>
              </w:rPr>
              <w:t>内容</w:t>
            </w:r>
            <w:r>
              <w:rPr>
                <w:rFonts w:ascii="仿宋" w:eastAsia="仿宋" w:hAnsi="仿宋" w:cs="仿宋" w:hint="eastAsia"/>
                <w:szCs w:val="18"/>
              </w:rPr>
              <w:t>不详实、不含缺陷和错误的每项扣2分</w:t>
            </w:r>
            <w:r w:rsidR="001363D0">
              <w:rPr>
                <w:rFonts w:ascii="仿宋" w:eastAsia="仿宋" w:hAnsi="仿宋" w:cs="仿宋" w:hint="eastAsia"/>
                <w:szCs w:val="18"/>
              </w:rPr>
              <w:t>，</w:t>
            </w:r>
            <w:r w:rsidR="001363D0">
              <w:rPr>
                <w:rFonts w:ascii="仿宋" w:eastAsia="仿宋" w:hAnsi="仿宋" w:cs="仿宋" w:hint="eastAsia"/>
                <w:szCs w:val="18"/>
              </w:rPr>
              <w:t>缺一项或者每项存在缺陷或者错误扣的扣3分</w:t>
            </w:r>
            <w:r>
              <w:rPr>
                <w:rFonts w:ascii="仿宋" w:eastAsia="仿宋" w:hAnsi="仿宋" w:cs="仿宋" w:hint="eastAsia"/>
                <w:szCs w:val="18"/>
              </w:rPr>
              <w:t>。</w:t>
            </w:r>
          </w:p>
          <w:p w14:paraId="3139B123" w14:textId="3358DD0F" w:rsidR="003F684F" w:rsidRDefault="00000000">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注:缺陷或错误指:项目名称、实施地点、技术的规范、标准与本项目要求不一致或方案描写过于简略、内容存在凭空想象与编造、内容与实际实施存在差异性，方案无条理性、编排混乱、语义表述不清，存在歧义、混乱等情形</w:t>
            </w:r>
            <w:r w:rsidR="00AC370A">
              <w:rPr>
                <w:rFonts w:ascii="仿宋" w:eastAsia="仿宋" w:hAnsi="仿宋" w:cs="仿宋" w:hint="eastAsia"/>
                <w:szCs w:val="18"/>
              </w:rPr>
              <w:t>。</w:t>
            </w:r>
          </w:p>
        </w:tc>
        <w:tc>
          <w:tcPr>
            <w:tcW w:w="838" w:type="dxa"/>
            <w:tcBorders>
              <w:top w:val="single" w:sz="4" w:space="0" w:color="auto"/>
              <w:left w:val="single" w:sz="4" w:space="0" w:color="auto"/>
              <w:bottom w:val="single" w:sz="4" w:space="0" w:color="auto"/>
              <w:right w:val="single" w:sz="4" w:space="0" w:color="auto"/>
            </w:tcBorders>
            <w:vAlign w:val="center"/>
          </w:tcPr>
          <w:p w14:paraId="0D4D65C8" w14:textId="326E305D" w:rsidR="003F684F" w:rsidRDefault="00A04E02">
            <w:pPr>
              <w:pStyle w:val="af0"/>
              <w:widowControl w:val="0"/>
              <w:ind w:firstLineChars="0" w:firstLine="0"/>
              <w:rPr>
                <w:rFonts w:ascii="仿宋" w:eastAsia="仿宋" w:hAnsi="仿宋" w:cs="仿宋" w:hint="eastAsia"/>
                <w:szCs w:val="18"/>
              </w:rPr>
            </w:pPr>
            <w:r>
              <w:rPr>
                <w:rFonts w:ascii="仿宋" w:eastAsia="仿宋" w:hAnsi="仿宋" w:cs="仿宋" w:hint="eastAsia"/>
                <w:szCs w:val="18"/>
              </w:rPr>
              <w:t>共同评分因素</w:t>
            </w:r>
          </w:p>
        </w:tc>
      </w:tr>
    </w:tbl>
    <w:p w14:paraId="41585D0A" w14:textId="77777777" w:rsidR="003F684F" w:rsidRDefault="003F684F">
      <w:pPr>
        <w:pStyle w:val="af0"/>
        <w:widowControl w:val="0"/>
        <w:spacing w:line="360" w:lineRule="auto"/>
        <w:ind w:firstLineChars="0" w:firstLine="0"/>
        <w:rPr>
          <w:rFonts w:ascii="仿宋" w:eastAsia="仿宋" w:hAnsi="仿宋" w:cs="仿宋" w:hint="eastAsia"/>
          <w:sz w:val="24"/>
        </w:rPr>
      </w:pPr>
    </w:p>
    <w:sectPr w:rsidR="003F68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F830C" w14:textId="77777777" w:rsidR="00494859" w:rsidRDefault="00494859" w:rsidP="001449DD">
      <w:r>
        <w:separator/>
      </w:r>
    </w:p>
  </w:endnote>
  <w:endnote w:type="continuationSeparator" w:id="0">
    <w:p w14:paraId="67743EEC" w14:textId="77777777" w:rsidR="00494859" w:rsidRDefault="00494859" w:rsidP="0014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A08CC" w14:textId="77777777" w:rsidR="00494859" w:rsidRDefault="00494859" w:rsidP="001449DD">
      <w:r>
        <w:separator/>
      </w:r>
    </w:p>
  </w:footnote>
  <w:footnote w:type="continuationSeparator" w:id="0">
    <w:p w14:paraId="7A4D5468" w14:textId="77777777" w:rsidR="00494859" w:rsidRDefault="00494859" w:rsidP="00144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2120F9A"/>
    <w:multiLevelType w:val="multilevel"/>
    <w:tmpl w:val="F2120F9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74B6BD3"/>
    <w:multiLevelType w:val="multilevel"/>
    <w:tmpl w:val="074B6BD3"/>
    <w:lvl w:ilvl="0">
      <w:start w:val="1"/>
      <w:numFmt w:val="decimal"/>
      <w:lvlText w:val="%1、"/>
      <w:lvlJc w:val="left"/>
      <w:pPr>
        <w:ind w:left="360" w:hanging="36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92638FB"/>
    <w:multiLevelType w:val="multilevel"/>
    <w:tmpl w:val="092638F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DF967A5"/>
    <w:multiLevelType w:val="multilevel"/>
    <w:tmpl w:val="2DF967A5"/>
    <w:lvl w:ilvl="0">
      <w:start w:val="1"/>
      <w:numFmt w:val="decimal"/>
      <w:suff w:val="noth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72D6EA0"/>
    <w:multiLevelType w:val="multilevel"/>
    <w:tmpl w:val="372D6EA0"/>
    <w:lvl w:ilvl="0">
      <w:start w:val="1"/>
      <w:numFmt w:val="decimal"/>
      <w:pStyle w:val="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5" w15:restartNumberingAfterBreak="0">
    <w:nsid w:val="7DD55EFE"/>
    <w:multiLevelType w:val="singleLevel"/>
    <w:tmpl w:val="7DD55EFE"/>
    <w:lvl w:ilvl="0">
      <w:start w:val="1"/>
      <w:numFmt w:val="chineseCounting"/>
      <w:suff w:val="nothing"/>
      <w:lvlText w:val="%1、"/>
      <w:lvlJc w:val="left"/>
      <w:rPr>
        <w:rFonts w:hint="eastAsia"/>
      </w:rPr>
    </w:lvl>
  </w:abstractNum>
  <w:num w:numId="1" w16cid:durableId="1646465759">
    <w:abstractNumId w:val="4"/>
  </w:num>
  <w:num w:numId="2" w16cid:durableId="1735737755">
    <w:abstractNumId w:val="5"/>
  </w:num>
  <w:num w:numId="3" w16cid:durableId="868563492">
    <w:abstractNumId w:val="2"/>
  </w:num>
  <w:num w:numId="4" w16cid:durableId="1896115124">
    <w:abstractNumId w:val="1"/>
  </w:num>
  <w:num w:numId="5" w16cid:durableId="777212753">
    <w:abstractNumId w:val="3"/>
  </w:num>
  <w:num w:numId="6" w16cid:durableId="1733500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209"/>
    <w:rsid w:val="000B73B7"/>
    <w:rsid w:val="000E7D2C"/>
    <w:rsid w:val="00125D60"/>
    <w:rsid w:val="00135CBF"/>
    <w:rsid w:val="001363D0"/>
    <w:rsid w:val="001449DD"/>
    <w:rsid w:val="00147DAD"/>
    <w:rsid w:val="001535FE"/>
    <w:rsid w:val="00175316"/>
    <w:rsid w:val="00182755"/>
    <w:rsid w:val="001D7BF9"/>
    <w:rsid w:val="001F3F03"/>
    <w:rsid w:val="00210F01"/>
    <w:rsid w:val="00213467"/>
    <w:rsid w:val="00236BB3"/>
    <w:rsid w:val="00250AAF"/>
    <w:rsid w:val="00255A9B"/>
    <w:rsid w:val="00273D2B"/>
    <w:rsid w:val="00285B39"/>
    <w:rsid w:val="00291F1B"/>
    <w:rsid w:val="002A2209"/>
    <w:rsid w:val="002E0CE3"/>
    <w:rsid w:val="00326084"/>
    <w:rsid w:val="00347601"/>
    <w:rsid w:val="00356346"/>
    <w:rsid w:val="003940A0"/>
    <w:rsid w:val="003B6450"/>
    <w:rsid w:val="003C0E13"/>
    <w:rsid w:val="003C309E"/>
    <w:rsid w:val="003D5677"/>
    <w:rsid w:val="003F417C"/>
    <w:rsid w:val="003F5B07"/>
    <w:rsid w:val="003F684F"/>
    <w:rsid w:val="0049042A"/>
    <w:rsid w:val="00494859"/>
    <w:rsid w:val="004964CD"/>
    <w:rsid w:val="00510C6E"/>
    <w:rsid w:val="00521039"/>
    <w:rsid w:val="00537D51"/>
    <w:rsid w:val="00545E37"/>
    <w:rsid w:val="0056113C"/>
    <w:rsid w:val="005620F3"/>
    <w:rsid w:val="00570123"/>
    <w:rsid w:val="005A150E"/>
    <w:rsid w:val="005A3780"/>
    <w:rsid w:val="005D107D"/>
    <w:rsid w:val="005F2E66"/>
    <w:rsid w:val="005F5BFE"/>
    <w:rsid w:val="00606916"/>
    <w:rsid w:val="00614477"/>
    <w:rsid w:val="00624603"/>
    <w:rsid w:val="00655DAA"/>
    <w:rsid w:val="00661215"/>
    <w:rsid w:val="006A191C"/>
    <w:rsid w:val="006B625A"/>
    <w:rsid w:val="007647F5"/>
    <w:rsid w:val="00767753"/>
    <w:rsid w:val="00772FB6"/>
    <w:rsid w:val="007A078A"/>
    <w:rsid w:val="007A4A9D"/>
    <w:rsid w:val="007A5B60"/>
    <w:rsid w:val="007C0756"/>
    <w:rsid w:val="00802123"/>
    <w:rsid w:val="00817AEA"/>
    <w:rsid w:val="00824630"/>
    <w:rsid w:val="0083306C"/>
    <w:rsid w:val="00833F45"/>
    <w:rsid w:val="008445E0"/>
    <w:rsid w:val="008A0B4D"/>
    <w:rsid w:val="008A58A8"/>
    <w:rsid w:val="008B1B3B"/>
    <w:rsid w:val="008B436F"/>
    <w:rsid w:val="008B5B3A"/>
    <w:rsid w:val="008F2C5E"/>
    <w:rsid w:val="008F64E1"/>
    <w:rsid w:val="009302B7"/>
    <w:rsid w:val="0096400E"/>
    <w:rsid w:val="00977DAC"/>
    <w:rsid w:val="00990E25"/>
    <w:rsid w:val="009936F2"/>
    <w:rsid w:val="00997C95"/>
    <w:rsid w:val="009C6D43"/>
    <w:rsid w:val="009E2BA5"/>
    <w:rsid w:val="009F3CF5"/>
    <w:rsid w:val="00A04E02"/>
    <w:rsid w:val="00A10D09"/>
    <w:rsid w:val="00AA0506"/>
    <w:rsid w:val="00AC370A"/>
    <w:rsid w:val="00B455D4"/>
    <w:rsid w:val="00B46071"/>
    <w:rsid w:val="00B8183D"/>
    <w:rsid w:val="00B95AC8"/>
    <w:rsid w:val="00BD4AE3"/>
    <w:rsid w:val="00BE189E"/>
    <w:rsid w:val="00BE60AA"/>
    <w:rsid w:val="00C02CB8"/>
    <w:rsid w:val="00C0377B"/>
    <w:rsid w:val="00C2202D"/>
    <w:rsid w:val="00C472C3"/>
    <w:rsid w:val="00C64860"/>
    <w:rsid w:val="00C82B2E"/>
    <w:rsid w:val="00CE1B5F"/>
    <w:rsid w:val="00CF5F4D"/>
    <w:rsid w:val="00D246A4"/>
    <w:rsid w:val="00D30EA8"/>
    <w:rsid w:val="00D46016"/>
    <w:rsid w:val="00DD1929"/>
    <w:rsid w:val="00DD357E"/>
    <w:rsid w:val="00DE73BC"/>
    <w:rsid w:val="00E12A27"/>
    <w:rsid w:val="00E12EF4"/>
    <w:rsid w:val="00E2509D"/>
    <w:rsid w:val="00E3083E"/>
    <w:rsid w:val="00E967C7"/>
    <w:rsid w:val="00EB61EF"/>
    <w:rsid w:val="00EC2F5C"/>
    <w:rsid w:val="00EE697F"/>
    <w:rsid w:val="00EF3EAA"/>
    <w:rsid w:val="00F219E3"/>
    <w:rsid w:val="00F3018C"/>
    <w:rsid w:val="00F37029"/>
    <w:rsid w:val="00F6182B"/>
    <w:rsid w:val="00F91AD0"/>
    <w:rsid w:val="00FA4FFA"/>
    <w:rsid w:val="00FA7EC7"/>
    <w:rsid w:val="00FE08C3"/>
    <w:rsid w:val="00FE17DB"/>
    <w:rsid w:val="032A7597"/>
    <w:rsid w:val="05810D93"/>
    <w:rsid w:val="05BB24F7"/>
    <w:rsid w:val="07464042"/>
    <w:rsid w:val="07611284"/>
    <w:rsid w:val="07AF1BE8"/>
    <w:rsid w:val="093D30F2"/>
    <w:rsid w:val="0E7E0566"/>
    <w:rsid w:val="11421D1E"/>
    <w:rsid w:val="124D2729"/>
    <w:rsid w:val="12CA3D79"/>
    <w:rsid w:val="138C2C9D"/>
    <w:rsid w:val="15D4711A"/>
    <w:rsid w:val="160B0931"/>
    <w:rsid w:val="162E0AC3"/>
    <w:rsid w:val="163F4A7E"/>
    <w:rsid w:val="16D451C7"/>
    <w:rsid w:val="17880B43"/>
    <w:rsid w:val="1833416F"/>
    <w:rsid w:val="188449CB"/>
    <w:rsid w:val="1ACB68E1"/>
    <w:rsid w:val="1B34092A"/>
    <w:rsid w:val="1E1A4FF0"/>
    <w:rsid w:val="1EC71AB5"/>
    <w:rsid w:val="20B47E17"/>
    <w:rsid w:val="20CE0ED9"/>
    <w:rsid w:val="20F14BC7"/>
    <w:rsid w:val="21B207FA"/>
    <w:rsid w:val="223E3E3C"/>
    <w:rsid w:val="25B032A3"/>
    <w:rsid w:val="264D6D44"/>
    <w:rsid w:val="27A42993"/>
    <w:rsid w:val="29F1225F"/>
    <w:rsid w:val="2D2527F1"/>
    <w:rsid w:val="2FAC4ADB"/>
    <w:rsid w:val="303074BA"/>
    <w:rsid w:val="31B60000"/>
    <w:rsid w:val="33F56325"/>
    <w:rsid w:val="375D66BB"/>
    <w:rsid w:val="38C20ECB"/>
    <w:rsid w:val="38CF35E8"/>
    <w:rsid w:val="39D709A6"/>
    <w:rsid w:val="3C0E2679"/>
    <w:rsid w:val="3C44609B"/>
    <w:rsid w:val="3C4936B2"/>
    <w:rsid w:val="3CDB07AE"/>
    <w:rsid w:val="3DD126BC"/>
    <w:rsid w:val="3EC3599D"/>
    <w:rsid w:val="3FD90BCD"/>
    <w:rsid w:val="42A73E07"/>
    <w:rsid w:val="434B5F61"/>
    <w:rsid w:val="4A070E34"/>
    <w:rsid w:val="4CA010CC"/>
    <w:rsid w:val="4D4203D5"/>
    <w:rsid w:val="4D4E0B28"/>
    <w:rsid w:val="4E4361B3"/>
    <w:rsid w:val="50324731"/>
    <w:rsid w:val="57566F57"/>
    <w:rsid w:val="5A4532B2"/>
    <w:rsid w:val="5A897643"/>
    <w:rsid w:val="5DAD3649"/>
    <w:rsid w:val="5DE057CC"/>
    <w:rsid w:val="5F2142EE"/>
    <w:rsid w:val="65532D27"/>
    <w:rsid w:val="69586B5E"/>
    <w:rsid w:val="69B55D5F"/>
    <w:rsid w:val="6D2F5E28"/>
    <w:rsid w:val="6EEB2223"/>
    <w:rsid w:val="6F045092"/>
    <w:rsid w:val="705F6A24"/>
    <w:rsid w:val="70E433CD"/>
    <w:rsid w:val="714D2D21"/>
    <w:rsid w:val="71D76A8E"/>
    <w:rsid w:val="73DB31E4"/>
    <w:rsid w:val="74C72DEA"/>
    <w:rsid w:val="772C162A"/>
    <w:rsid w:val="781520BE"/>
    <w:rsid w:val="7A464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E0A55"/>
  <w15:docId w15:val="{804190E4-2996-43F5-94DE-A72BB20D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jc w:val="both"/>
    </w:pPr>
    <w:rPr>
      <w:rFonts w:ascii="Times New Roman" w:eastAsia="宋体" w:hAnsi="Times New Roman" w:cs="Times New Roman"/>
      <w:kern w:val="2"/>
      <w:sz w:val="21"/>
      <w:szCs w:val="21"/>
    </w:rPr>
  </w:style>
  <w:style w:type="paragraph" w:styleId="10">
    <w:name w:val="heading 1"/>
    <w:basedOn w:val="a"/>
    <w:next w:val="a"/>
    <w:link w:val="11"/>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9C6D4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pPr>
      <w:ind w:firstLineChars="200" w:firstLine="420"/>
    </w:pPr>
  </w:style>
  <w:style w:type="paragraph" w:styleId="a4">
    <w:name w:val="annotation text"/>
    <w:basedOn w:val="a"/>
    <w:link w:val="a5"/>
    <w:uiPriority w:val="99"/>
    <w:semiHidden/>
    <w:unhideWhenUsed/>
    <w:qFormat/>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4"/>
    <w:next w:val="a4"/>
    <w:link w:val="ae"/>
    <w:uiPriority w:val="99"/>
    <w:semiHidden/>
    <w:unhideWhenUsed/>
    <w:qFormat/>
    <w:rPr>
      <w:b/>
      <w:bCs/>
    </w:rPr>
  </w:style>
  <w:style w:type="character" w:styleId="af">
    <w:name w:val="annotation reference"/>
    <w:basedOn w:val="a1"/>
    <w:uiPriority w:val="99"/>
    <w:semiHidden/>
    <w:unhideWhenUsed/>
    <w:qFormat/>
    <w:rPr>
      <w:sz w:val="21"/>
      <w:szCs w:val="21"/>
    </w:rPr>
  </w:style>
  <w:style w:type="paragraph" w:customStyle="1" w:styleId="1">
    <w:name w:val="标题 1（深信服科技）"/>
    <w:basedOn w:val="10"/>
    <w:next w:val="a"/>
    <w:link w:val="12"/>
    <w:qFormat/>
    <w:pPr>
      <w:numPr>
        <w:numId w:val="1"/>
      </w:numPr>
      <w:tabs>
        <w:tab w:val="left" w:pos="420"/>
      </w:tabs>
      <w:adjustRightInd w:val="0"/>
      <w:snapToGrid w:val="0"/>
      <w:spacing w:beforeLines="50" w:before="156" w:afterLines="100" w:after="312" w:line="240" w:lineRule="auto"/>
      <w:ind w:left="418" w:hangingChars="130" w:hanging="418"/>
      <w:jc w:val="left"/>
    </w:pPr>
    <w:rPr>
      <w:rFonts w:eastAsia="黑体" w:cstheme="minorBidi"/>
      <w:sz w:val="32"/>
    </w:rPr>
  </w:style>
  <w:style w:type="character" w:customStyle="1" w:styleId="12">
    <w:name w:val="标题 1（深信服科技） 字符"/>
    <w:link w:val="1"/>
    <w:qFormat/>
    <w:rPr>
      <w:rFonts w:ascii="Times New Roman" w:eastAsia="黑体" w:hAnsi="Times New Roman"/>
      <w:b/>
      <w:bCs/>
      <w:kern w:val="44"/>
      <w:sz w:val="32"/>
      <w:szCs w:val="44"/>
    </w:rPr>
  </w:style>
  <w:style w:type="character" w:customStyle="1" w:styleId="11">
    <w:name w:val="标题 1 字符"/>
    <w:basedOn w:val="a1"/>
    <w:link w:val="10"/>
    <w:uiPriority w:val="9"/>
    <w:rPr>
      <w:rFonts w:ascii="Times New Roman" w:eastAsia="宋体" w:hAnsi="Times New Roman" w:cs="Times New Roman"/>
      <w:b/>
      <w:bCs/>
      <w:kern w:val="44"/>
      <w:sz w:val="44"/>
      <w:szCs w:val="44"/>
    </w:rPr>
  </w:style>
  <w:style w:type="character" w:customStyle="1" w:styleId="ab">
    <w:name w:val="页眉 字符"/>
    <w:basedOn w:val="a1"/>
    <w:link w:val="aa"/>
    <w:uiPriority w:val="99"/>
    <w:qFormat/>
    <w:rPr>
      <w:rFonts w:ascii="Times New Roman" w:eastAsia="宋体" w:hAnsi="Times New Roman" w:cs="Times New Roman"/>
      <w:sz w:val="18"/>
      <w:szCs w:val="18"/>
    </w:rPr>
  </w:style>
  <w:style w:type="character" w:customStyle="1" w:styleId="a9">
    <w:name w:val="页脚 字符"/>
    <w:basedOn w:val="a1"/>
    <w:link w:val="a8"/>
    <w:uiPriority w:val="99"/>
    <w:qFormat/>
    <w:rPr>
      <w:rFonts w:ascii="Times New Roman" w:eastAsia="宋体" w:hAnsi="Times New Roman" w:cs="Times New Roman"/>
      <w:sz w:val="18"/>
      <w:szCs w:val="18"/>
    </w:rPr>
  </w:style>
  <w:style w:type="paragraph" w:styleId="af0">
    <w:name w:val="List Paragraph"/>
    <w:basedOn w:val="a"/>
    <w:uiPriority w:val="34"/>
    <w:qFormat/>
    <w:pPr>
      <w:ind w:firstLineChars="200" w:firstLine="420"/>
    </w:pPr>
  </w:style>
  <w:style w:type="paragraph" w:customStyle="1" w:styleId="New">
    <w:name w:val="正文 New"/>
    <w:qFormat/>
    <w:pPr>
      <w:widowControl w:val="0"/>
      <w:jc w:val="both"/>
    </w:pPr>
    <w:rPr>
      <w:rFonts w:ascii="Times New Roman" w:eastAsia="宋体" w:hAnsi="Times New Roman" w:cs="Times New Roman"/>
      <w:kern w:val="2"/>
      <w:sz w:val="21"/>
      <w:szCs w:val="24"/>
    </w:rPr>
  </w:style>
  <w:style w:type="character" w:customStyle="1" w:styleId="a5">
    <w:name w:val="批注文字 字符"/>
    <w:basedOn w:val="a1"/>
    <w:link w:val="a4"/>
    <w:uiPriority w:val="99"/>
    <w:semiHidden/>
    <w:qFormat/>
    <w:rPr>
      <w:rFonts w:ascii="Times New Roman" w:eastAsia="宋体" w:hAnsi="Times New Roman" w:cs="Times New Roman"/>
      <w:szCs w:val="21"/>
    </w:rPr>
  </w:style>
  <w:style w:type="character" w:customStyle="1" w:styleId="ae">
    <w:name w:val="批注主题 字符"/>
    <w:basedOn w:val="a5"/>
    <w:link w:val="ad"/>
    <w:uiPriority w:val="99"/>
    <w:semiHidden/>
    <w:qFormat/>
    <w:rPr>
      <w:rFonts w:ascii="Times New Roman" w:eastAsia="宋体" w:hAnsi="Times New Roman" w:cs="Times New Roman"/>
      <w:b/>
      <w:bCs/>
      <w:szCs w:val="21"/>
    </w:rPr>
  </w:style>
  <w:style w:type="character" w:customStyle="1" w:styleId="a7">
    <w:name w:val="批注框文本 字符"/>
    <w:basedOn w:val="a1"/>
    <w:link w:val="a6"/>
    <w:uiPriority w:val="99"/>
    <w:semiHidden/>
    <w:qFormat/>
    <w:rPr>
      <w:rFonts w:ascii="Times New Roman" w:eastAsia="宋体" w:hAnsi="Times New Roman" w:cs="Times New Roman"/>
      <w:sz w:val="18"/>
      <w:szCs w:val="18"/>
    </w:rPr>
  </w:style>
  <w:style w:type="paragraph" w:styleId="af1">
    <w:name w:val="Body Text"/>
    <w:basedOn w:val="a"/>
    <w:next w:val="af2"/>
    <w:link w:val="af3"/>
    <w:uiPriority w:val="99"/>
    <w:unhideWhenUsed/>
    <w:qFormat/>
    <w:rsid w:val="009C6D43"/>
    <w:pPr>
      <w:widowControl w:val="0"/>
      <w:spacing w:after="120"/>
    </w:pPr>
    <w:rPr>
      <w:szCs w:val="24"/>
    </w:rPr>
  </w:style>
  <w:style w:type="character" w:customStyle="1" w:styleId="af3">
    <w:name w:val="正文文本 字符"/>
    <w:basedOn w:val="a1"/>
    <w:link w:val="af1"/>
    <w:uiPriority w:val="99"/>
    <w:rsid w:val="009C6D43"/>
    <w:rPr>
      <w:rFonts w:ascii="Times New Roman" w:eastAsia="宋体" w:hAnsi="Times New Roman" w:cs="Times New Roman"/>
      <w:kern w:val="2"/>
      <w:sz w:val="21"/>
      <w:szCs w:val="24"/>
    </w:rPr>
  </w:style>
  <w:style w:type="paragraph" w:styleId="af2">
    <w:name w:val="Body Text First Indent"/>
    <w:basedOn w:val="af1"/>
    <w:link w:val="af4"/>
    <w:uiPriority w:val="99"/>
    <w:semiHidden/>
    <w:unhideWhenUsed/>
    <w:rsid w:val="009C6D43"/>
    <w:pPr>
      <w:widowControl/>
      <w:ind w:firstLineChars="100" w:firstLine="420"/>
    </w:pPr>
    <w:rPr>
      <w:szCs w:val="21"/>
    </w:rPr>
  </w:style>
  <w:style w:type="character" w:customStyle="1" w:styleId="af4">
    <w:name w:val="正文文本首行缩进 字符"/>
    <w:basedOn w:val="af3"/>
    <w:link w:val="af2"/>
    <w:uiPriority w:val="99"/>
    <w:semiHidden/>
    <w:rsid w:val="009C6D43"/>
    <w:rPr>
      <w:rFonts w:ascii="Times New Roman" w:eastAsia="宋体" w:hAnsi="Times New Roman" w:cs="Times New Roman"/>
      <w:kern w:val="2"/>
      <w:sz w:val="21"/>
      <w:szCs w:val="24"/>
    </w:rPr>
  </w:style>
  <w:style w:type="character" w:customStyle="1" w:styleId="20">
    <w:name w:val="标题 2 字符"/>
    <w:basedOn w:val="a1"/>
    <w:link w:val="2"/>
    <w:uiPriority w:val="9"/>
    <w:semiHidden/>
    <w:rsid w:val="009C6D43"/>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404</Words>
  <Characters>2308</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子 欢</cp:lastModifiedBy>
  <cp:revision>20</cp:revision>
  <dcterms:created xsi:type="dcterms:W3CDTF">2024-11-19T09:10:00Z</dcterms:created>
  <dcterms:modified xsi:type="dcterms:W3CDTF">2024-12-18T03:48:00Z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F3E1163C1CC94C91AFF4C5B9933556BE_12</vt:lpwstr>
  </property>
</Properties>
</file>