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56" w:beforeLines="50" w:after="156" w:afterLines="50" w:line="24" w:lineRule="atLeast"/>
        <w:outlineLvl w:val="0"/>
        <w:rPr>
          <w:rFonts w:ascii="微软雅黑" w:hAnsi="微软雅黑" w:eastAsia="微软雅黑"/>
          <w:bCs/>
          <w:color w:val="000000"/>
          <w:szCs w:val="21"/>
        </w:rPr>
      </w:pPr>
      <w:r>
        <w:rPr>
          <w:rFonts w:hint="eastAsia" w:ascii="微软雅黑" w:hAnsi="微软雅黑" w:eastAsia="微软雅黑"/>
          <w:bCs/>
          <w:color w:val="000000"/>
          <w:szCs w:val="21"/>
        </w:rPr>
        <w:t>附件1：</w:t>
      </w:r>
    </w:p>
    <w:p>
      <w:pPr>
        <w:pStyle w:val="12"/>
      </w:pPr>
    </w:p>
    <w:p>
      <w:pPr>
        <w:tabs>
          <w:tab w:val="left" w:pos="5250"/>
        </w:tabs>
        <w:spacing w:line="24" w:lineRule="atLeast"/>
        <w:jc w:val="center"/>
        <w:rPr>
          <w:b/>
          <w:bCs/>
          <w:sz w:val="44"/>
          <w:szCs w:val="52"/>
        </w:rPr>
      </w:pPr>
      <w:r>
        <w:rPr>
          <w:rFonts w:hint="eastAsia"/>
          <w:b/>
          <w:bCs/>
          <w:sz w:val="44"/>
          <w:szCs w:val="52"/>
        </w:rPr>
        <w:t>技术参数</w:t>
      </w:r>
    </w:p>
    <w:p>
      <w:pPr>
        <w:spacing w:line="24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说明：</w:t>
      </w:r>
    </w:p>
    <w:p>
      <w:pPr>
        <w:rPr>
          <w:rFonts w:cs="仿宋" w:asciiTheme="majorEastAsia" w:hAnsiTheme="majorEastAsia" w:eastAsiaTheme="majorEastAsia"/>
          <w:bCs/>
          <w:sz w:val="24"/>
        </w:rPr>
      </w:pPr>
      <w:r>
        <w:rPr>
          <w:rFonts w:hint="eastAsia" w:cs="仿宋" w:asciiTheme="majorEastAsia" w:hAnsiTheme="majorEastAsia" w:eastAsiaTheme="majorEastAsia"/>
          <w:bCs/>
          <w:sz w:val="24"/>
        </w:rPr>
        <w:t>带★指标为本项目的实质性要求，供应商应全部满足，否则投标文件作无效</w:t>
      </w:r>
      <w:r>
        <w:rPr>
          <w:rFonts w:hint="eastAsia" w:cs="仿宋" w:asciiTheme="majorEastAsia" w:hAnsiTheme="majorEastAsia" w:eastAsiaTheme="majorEastAsia"/>
          <w:bCs/>
          <w:sz w:val="24"/>
          <w:lang w:val="en-US" w:eastAsia="zh-CN"/>
        </w:rPr>
        <w:t>处理</w:t>
      </w:r>
      <w:r>
        <w:rPr>
          <w:rFonts w:hint="eastAsia" w:cs="仿宋" w:asciiTheme="majorEastAsia" w:hAnsiTheme="majorEastAsia" w:eastAsiaTheme="majorEastAsia"/>
          <w:bCs/>
          <w:sz w:val="24"/>
        </w:rPr>
        <w:t>；带▲符号的条款为本项目的重要参数条款；未标识符号的条款为一般参数条款;</w:t>
      </w:r>
    </w:p>
    <w:p>
      <w:pPr>
        <w:pStyle w:val="2"/>
      </w:pPr>
      <w:r>
        <w:rPr>
          <w:rFonts w:hint="eastAsia"/>
        </w:rPr>
        <w:t>采购清单</w:t>
      </w:r>
    </w:p>
    <w:p>
      <w:pPr>
        <w:numPr>
          <w:ilvl w:val="1"/>
          <w:numId w:val="2"/>
        </w:numPr>
        <w:spacing w:line="360" w:lineRule="auto"/>
      </w:pPr>
      <w:r>
        <w:rPr>
          <w:rFonts w:hint="eastAsia"/>
        </w:rPr>
        <w:t>预算：</w:t>
      </w:r>
      <w:r>
        <w:rPr>
          <w:rFonts w:hint="eastAsia"/>
          <w:lang w:val="en-US" w:eastAsia="zh-CN"/>
        </w:rPr>
        <w:t>13</w:t>
      </w:r>
      <w:r>
        <w:rPr>
          <w:rFonts w:hint="eastAsia"/>
        </w:rPr>
        <w:t>万</w:t>
      </w:r>
    </w:p>
    <w:p>
      <w:pPr>
        <w:numPr>
          <w:ilvl w:val="1"/>
          <w:numId w:val="2"/>
        </w:numPr>
        <w:spacing w:line="360" w:lineRule="auto"/>
      </w:pPr>
      <w:r>
        <w:rPr>
          <w:rFonts w:hint="eastAsia"/>
        </w:rPr>
        <w:t>最高限价：</w:t>
      </w:r>
      <w:r>
        <w:rPr>
          <w:rFonts w:hint="eastAsia"/>
          <w:lang w:val="en-US" w:eastAsia="zh-CN"/>
        </w:rPr>
        <w:t>13</w:t>
      </w:r>
      <w:r>
        <w:rPr>
          <w:rFonts w:hint="eastAsia"/>
        </w:rPr>
        <w:t>万</w:t>
      </w:r>
    </w:p>
    <w:p>
      <w:pPr>
        <w:pStyle w:val="12"/>
        <w:numPr>
          <w:ilvl w:val="1"/>
          <w:numId w:val="2"/>
        </w:numPr>
        <w:spacing w:line="360" w:lineRule="auto"/>
      </w:pPr>
      <w:r>
        <w:rPr>
          <w:rFonts w:hint="eastAsia"/>
        </w:rPr>
        <w:t>采购清单：</w:t>
      </w:r>
    </w:p>
    <w:tbl>
      <w:tblPr>
        <w:tblStyle w:val="20"/>
        <w:tblW w:w="5558" w:type="pct"/>
        <w:tblInd w:w="-38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2287"/>
        <w:gridCol w:w="1283"/>
        <w:gridCol w:w="512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9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包号</w:t>
            </w:r>
          </w:p>
        </w:tc>
        <w:tc>
          <w:tcPr>
            <w:tcW w:w="1155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产品</w:t>
            </w: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数量</w:t>
            </w:r>
          </w:p>
        </w:tc>
        <w:tc>
          <w:tcPr>
            <w:tcW w:w="2587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widowControl/>
              <w:snapToGrid w:val="0"/>
              <w:spacing w:line="24" w:lineRule="atLeast"/>
              <w:jc w:val="center"/>
              <w:textAlignment w:val="top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09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1</w:t>
            </w:r>
          </w:p>
        </w:tc>
        <w:tc>
          <w:tcPr>
            <w:tcW w:w="115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 w:eastAsia="宋体" w:cs="Arial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zCs w:val="21"/>
                <w:lang w:val="en-US" w:eastAsia="zh-CN"/>
              </w:rPr>
              <w:t>急诊科呼叫显示系统</w:t>
            </w:r>
          </w:p>
        </w:tc>
        <w:tc>
          <w:tcPr>
            <w:tcW w:w="648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 w:eastAsia="宋体" w:cs="Arial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szCs w:val="21"/>
                <w:lang w:val="en-US" w:eastAsia="zh-CN"/>
              </w:rPr>
              <w:t>1套</w:t>
            </w:r>
          </w:p>
        </w:tc>
        <w:tc>
          <w:tcPr>
            <w:tcW w:w="2587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spacing w:line="240" w:lineRule="atLeas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包含3个子系统：</w:t>
            </w:r>
          </w:p>
          <w:p>
            <w:pPr>
              <w:pStyle w:val="12"/>
              <w:numPr>
                <w:ilvl w:val="0"/>
                <w:numId w:val="3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天府院区穿刺叫号</w:t>
            </w:r>
          </w:p>
          <w:p>
            <w:pPr>
              <w:pStyle w:val="12"/>
              <w:numPr>
                <w:ilvl w:val="0"/>
                <w:numId w:val="3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天府和晋阳院区穿刺护士显示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天府和晋阳院区</w:t>
            </w:r>
            <w:r>
              <w:rPr>
                <w:rFonts w:hint="default"/>
                <w:lang w:val="en-US" w:eastAsia="zh-CN"/>
              </w:rPr>
              <w:t>抢救室外电子显示屏和呼叫外放</w:t>
            </w:r>
            <w:bookmarkStart w:id="0" w:name="_GoBack"/>
            <w:bookmarkEnd w:id="0"/>
          </w:p>
        </w:tc>
      </w:tr>
    </w:tbl>
    <w:p>
      <w:pPr>
        <w:pStyle w:val="2"/>
      </w:pPr>
      <w:r>
        <w:rPr>
          <w:rFonts w:hint="eastAsia"/>
        </w:rPr>
        <w:t>技术要求</w:t>
      </w:r>
    </w:p>
    <w:tbl>
      <w:tblPr>
        <w:tblStyle w:val="20"/>
        <w:tblW w:w="9870" w:type="dxa"/>
        <w:tblInd w:w="-36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240"/>
        <w:gridCol w:w="6403"/>
        <w:gridCol w:w="795"/>
        <w:gridCol w:w="7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6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主要功能参数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总体要求</w:t>
            </w:r>
          </w:p>
        </w:tc>
        <w:tc>
          <w:tcPr>
            <w:tcW w:w="6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★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支持</w:t>
            </w:r>
            <w:r>
              <w:rPr>
                <w:rFonts w:hint="eastAsia" w:ascii="宋体" w:hAnsi="宋体" w:eastAsia="宋体" w:cs="宋体"/>
                <w:lang w:eastAsia="zh-CN"/>
              </w:rPr>
              <w:t>天府院区穿刺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叫号：</w:t>
            </w:r>
            <w:r>
              <w:rPr>
                <w:rFonts w:hint="eastAsia" w:ascii="宋体" w:hAnsi="宋体" w:eastAsia="宋体" w:cs="宋体"/>
                <w:lang w:eastAsia="zh-CN"/>
              </w:rPr>
              <w:t>按配药先后进行排队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并生成穿刺呼叫号，</w:t>
            </w:r>
            <w:r>
              <w:rPr>
                <w:rFonts w:hint="eastAsia" w:ascii="宋体" w:hAnsi="宋体" w:eastAsia="宋体" w:cs="宋体"/>
                <w:lang w:eastAsia="zh-CN"/>
              </w:rPr>
              <w:t>广播并显示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穿刺</w:t>
            </w:r>
            <w:r>
              <w:rPr>
                <w:rFonts w:hint="eastAsia" w:ascii="宋体" w:hAnsi="宋体" w:eastAsia="宋体" w:cs="宋体"/>
                <w:lang w:eastAsia="zh-CN"/>
              </w:rPr>
              <w:t>呼叫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号，通知患者到相应</w:t>
            </w:r>
            <w:r>
              <w:rPr>
                <w:rFonts w:hint="eastAsia" w:ascii="宋体" w:hAnsi="宋体" w:eastAsia="宋体" w:cs="宋体"/>
              </w:rPr>
              <w:t>穿刺台进行穿刺</w:t>
            </w:r>
            <w:r>
              <w:rPr>
                <w:rFonts w:hint="eastAsia" w:ascii="宋体" w:hAnsi="宋体" w:eastAsia="宋体" w:cs="宋体"/>
                <w:lang w:eastAsia="zh-CN"/>
              </w:rPr>
              <w:t>。</w:t>
            </w:r>
          </w:p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★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支持天府和晋阳院区穿刺护士显示：每个穿刺台</w:t>
            </w:r>
            <w:r>
              <w:rPr>
                <w:rFonts w:hint="eastAsia" w:ascii="宋体" w:hAnsi="宋体" w:eastAsia="宋体" w:cs="宋体"/>
              </w:rPr>
              <w:t>显示穿刺</w:t>
            </w:r>
            <w:r>
              <w:rPr>
                <w:rFonts w:hint="eastAsia" w:ascii="宋体" w:hAnsi="宋体" w:eastAsia="宋体" w:cs="宋体"/>
                <w:lang w:eastAsia="zh-CN"/>
              </w:rPr>
              <w:t>护士工号、工作时间、穿刺例数和穿刺成功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率。支持按时间、护士等维护进行统计，用于护士绩效评价考核，减少患者穿刺投诉。</w:t>
            </w:r>
          </w:p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★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支持</w:t>
            </w:r>
            <w:r>
              <w:rPr>
                <w:rFonts w:hint="eastAsia" w:ascii="宋体" w:hAnsi="宋体" w:eastAsia="宋体" w:cs="宋体"/>
                <w:lang w:eastAsia="zh-CN"/>
              </w:rPr>
              <w:t>天府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和</w:t>
            </w:r>
            <w:r>
              <w:rPr>
                <w:rFonts w:hint="eastAsia" w:ascii="宋体" w:hAnsi="宋体" w:eastAsia="宋体" w:cs="宋体"/>
                <w:lang w:eastAsia="zh-CN"/>
              </w:rPr>
              <w:t>晋阳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院区各</w:t>
            </w:r>
            <w:r>
              <w:rPr>
                <w:rFonts w:hint="eastAsia" w:ascii="宋体" w:hAnsi="宋体" w:eastAsia="宋体" w:cs="宋体"/>
                <w:lang w:eastAsia="zh-CN"/>
              </w:rPr>
              <w:t>急诊区一键呼叫相关急救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医护人员</w:t>
            </w:r>
            <w:r>
              <w:rPr>
                <w:rFonts w:hint="eastAsia" w:ascii="宋体" w:hAnsi="宋体" w:eastAsia="宋体" w:cs="宋体"/>
                <w:lang w:eastAsia="zh-CN"/>
              </w:rPr>
              <w:t>前往指定急救区进行抢救。</w:t>
            </w:r>
          </w:p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★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支持</w:t>
            </w:r>
            <w:r>
              <w:rPr>
                <w:rFonts w:hint="eastAsia" w:ascii="宋体" w:hAnsi="宋体" w:eastAsia="宋体" w:cs="宋体"/>
                <w:lang w:eastAsia="zh-CN"/>
              </w:rPr>
              <w:t>抢救室一键呼叫指定患者家属到抢救室，并在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抢救室</w:t>
            </w:r>
            <w:r>
              <w:rPr>
                <w:rFonts w:hint="eastAsia" w:ascii="宋体" w:hAnsi="宋体" w:eastAsia="宋体" w:cs="宋体"/>
                <w:lang w:eastAsia="zh-CN"/>
              </w:rPr>
              <w:t>显示屏上显示呼叫信息，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同时支持播放</w:t>
            </w:r>
            <w:r>
              <w:rPr>
                <w:rFonts w:hint="eastAsia" w:ascii="宋体" w:hAnsi="宋体" w:eastAsia="宋体" w:cs="宋体"/>
                <w:lang w:eastAsia="zh-CN"/>
              </w:rPr>
              <w:t>宣教视频、图片、公告等信息。</w:t>
            </w:r>
          </w:p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★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根据急诊科业务特点，所有</w:t>
            </w:r>
            <w:r>
              <w:rPr>
                <w:rFonts w:hint="eastAsia" w:ascii="宋体" w:hAnsi="宋体" w:eastAsia="宋体" w:cs="宋体"/>
                <w:lang w:eastAsia="zh-CN"/>
              </w:rPr>
              <w:t>设备支持7*24不间断可靠运行。</w:t>
            </w:r>
          </w:p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★天府、晋阳院区统一部署，统一管理，可远程维护，实时监控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所有</w:t>
            </w:r>
            <w:r>
              <w:rPr>
                <w:rFonts w:hint="eastAsia" w:ascii="宋体" w:hAnsi="宋体" w:eastAsia="宋体" w:cs="宋体"/>
                <w:lang w:eastAsia="zh-CN"/>
              </w:rPr>
              <w:t>设备运行情况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。</w:t>
            </w:r>
          </w:p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▲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承诺可以</w:t>
            </w:r>
            <w:r>
              <w:rPr>
                <w:rFonts w:hint="eastAsia" w:ascii="宋体" w:hAnsi="宋体" w:eastAsia="宋体" w:cs="宋体"/>
                <w:lang w:eastAsia="zh-CN"/>
              </w:rPr>
              <w:t>根据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医院需求</w:t>
            </w:r>
            <w:r>
              <w:rPr>
                <w:rFonts w:hint="eastAsia" w:ascii="宋体" w:hAnsi="宋体" w:eastAsia="宋体" w:cs="宋体"/>
                <w:lang w:eastAsia="zh-CN"/>
              </w:rPr>
              <w:t>进行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功能</w:t>
            </w:r>
            <w:r>
              <w:rPr>
                <w:rFonts w:hint="eastAsia" w:ascii="宋体" w:hAnsi="宋体" w:eastAsia="宋体" w:cs="宋体"/>
                <w:lang w:eastAsia="zh-CN"/>
              </w:rPr>
              <w:t>扩展和二次开发，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质保期内不收取额外费用（提供承诺函并加盖投标人鲜章）。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广播呼叫终端</w:t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48" name="Picture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47" name="Picture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55" name="Picture_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_2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51" name="Picture_1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_11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59" name="Picture_1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Picture_11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43" name="Picture_1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_11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49" name="Picture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_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45" name="Picture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_1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58" name="Picture_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Picture_2_SpCnt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44" name="Picture_2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_2_SpCnt_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46" name="Picture_1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_11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56" name="Picture_2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_2_SpCnt_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61" name="Picture_12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Picture_12_SpCnt_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54" name="Picture_1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_11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64" name="Picture_1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_11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60" name="Picture_1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icture_11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41" name="Picture_2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_2_SpCnt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40" name="Picture_2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_2_SpCnt_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62" name="Picture_1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Picture_11_SpCnt_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53" name="Picture_2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_2_SpCnt_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63" name="Picture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Picture_1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52" name="Picture_13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_13_SpCnt_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42" name="Picture_12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_12_SpCnt_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57" name="Picture_13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icture_13_SpCnt_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50" name="Picture_13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_13_SpCnt_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39" name="Picture_12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_12_SpCnt_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65" name="Picture_13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Picture_13_SpCnt_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3" name="Picture_13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_13_SpCnt_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" name="Picture_1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_11_SpCnt_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" name="Picture_13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_13_SpCnt_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4" name="Picture_13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_13_SpCnt_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5" name="Picture_12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_12_SpCnt_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6" name="Picture_12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_12_SpCnt_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7" name="Picture_12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_12_SpCnt_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8" name="Picture_13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_13_SpCnt_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9" name="Picture_13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_13_SpCnt_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0" name="Picture_13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_13_SpCnt_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1" name="Picture_13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_13_SpCnt_1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2" name="Picture_13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_13_SpCnt_1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3" name="Picture_13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_13_SpCnt_1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4" name="Picture_13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_13_SpCnt_1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5" name="Picture_13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_13_SpCnt_1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6" name="Picture_13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_13_SpCnt_1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7" name="Picture_1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_11_SpCnt_1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8" name="Picture_13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_13_SpCnt_1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9" name="Picture_13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_13_SpCnt_1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0" name="Picture_13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_13_SpCnt_1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1" name="Picture_13_SpCnt_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_13_SpCnt_2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2" name="Picture_13_SpCnt_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_13_SpCnt_2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3" name="Picture_12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_12_SpCnt_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4" name="Picture_2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_2_SpCnt_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5" name="Picture_2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_2_SpCnt_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6" name="Picture_13_SpCnt_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_13_SpCnt_2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7" name="Picture_12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_12_SpCnt_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8" name="Picture_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_1_SpCnt_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9" name="Picture_12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_12_SpCnt_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30" name="Picture_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_1_SpCnt_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31" name="Picture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_1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32" name="Picture_13_SpCnt_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_13_SpCnt_2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33" name="Picture_12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_12_SpCnt_1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34" name="Picture_1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_10_SpCnt_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35" name="Picture_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_1_SpCnt_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36" name="Picture_1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_11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37" name="Picture_13_SpCnt_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_13_SpCnt_2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38" name="Picture_12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_12_SpCnt_1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66" name="Picture_2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Picture_2_SpCnt_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67" name="Picture_10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Picture_10_SpCnt_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68" name="Picture_1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Picture_1_SpCnt_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69" name="Picture_10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icture_10_SpCnt_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70" name="Picture_1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Picture_11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71" name="Picture_2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_2_SpCnt_1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72" name="Picture_1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_11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73" name="Picture_1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_1_SpCnt_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74" name="Picture_10_SpCnt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_10_SpCnt_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75" name="Picture_12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Picture_12_SpCnt_1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76" name="Picture_13_SpCnt_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Picture_13_SpCnt_2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77" name="Picture_1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Picture_1_SpCnt_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78" name="Picture_1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Picture_11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79" name="Picture_13_SpCnt_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Picture_13_SpCnt_2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80" name="Picture_2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icture_2_SpCnt_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81" name="Picture_1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Picture_1_SpCnt_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82" name="Picture_12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Picture_12_SpCnt_1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83" name="Picture_12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Picture_12_SpCnt_1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84" name="Picture_10_SpCnt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Picture_10_SpCnt_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85" name="Picture_13_SpCnt_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Picture_13_SpCnt_2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86" name="Picture_10_SpCnt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Picture_10_SpCnt_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87" name="Picture_10_SpCnt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Picture_10_SpCnt_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88" name="Picture_13_SpCnt_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Picture_13_SpCnt_2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89" name="Picture_1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Picture_1_SpCnt_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90" name="Picture_12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Picture_12_SpCnt_1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91" name="Picture_12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Picture_12_SpCnt_1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92" name="Picture_13_SpCnt_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Picture_13_SpCnt_2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93" name="Picture_10_SpCnt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Picture_10_SpCnt_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94" name="Picture_1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Picture_1_SpCnt_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95" name="Picture_1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Picture_11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96" name="Picture_13_SpCnt_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Picture_13_SpCnt_3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97" name="Picture_12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Picture_12_SpCnt_1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98" name="Picture_2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Picture_2_SpCnt_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99" name="Picture_10_SpCnt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Picture_10_SpCnt_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00" name="Picture_1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Picture_11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01" name="Picture_1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Picture_11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02" name="Picture_2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Picture_2_SpCnt_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03" name="Picture_1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Picture_11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04" name="Picture_10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Picture_10_SpCnt_1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05" name="Picture_12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Picture_12_SpCnt_1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06" name="Picture_13_SpCnt_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Picture_13_SpCnt_3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07" name="Picture_12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Picture_12_SpCnt_1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08" name="Picture_13_SpCnt_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Picture_13_SpCnt_3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09" name="Picture_2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Picture_2_SpCnt_1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10" name="Picture_1_SpCnt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Picture_1_SpCnt_1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支持终端管理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包括终端名称、状态、IP、音量设置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根据应用场景将终端分配到不同分区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进行全区、分区广播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对讲。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▲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进行web管理终端分区管理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接入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终端数量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≥30个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紧急呼叫，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可以在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服务器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故障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情况下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进行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脱机对讲和广播(发起和接收)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支持IP网络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通信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广播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，支持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跨网段和跨路由通信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内置≥3W扬声器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自带音量调节旋钮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4英寸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触显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中文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显示。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内置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存储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模块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，支持存储和管理音频媒体库文件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支持U盘、外部音源输入，免提通话、接收广播、实况监听。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接口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 xml:space="preserve"> 1个RJ45网络接口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1个电源开关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1路报警输入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2路线路输入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1线路输出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1个USB接口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1路麦克风输入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NAS服务器应用。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11" name="Picture_13_SpCnt_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Picture_13_SpCnt_3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12" name="Picture_12_SpCnt_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Picture_12_SpCnt_2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13" name="Picture_13_SpCnt_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Picture_13_SpCnt_3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14" name="Picture_1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Picture_11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15" name="Picture_12_SpCnt_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Picture_12_SpCnt_2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16" name="Picture_12_SpCnt_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Picture_12_SpCnt_2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17" name="Picture_12_SpCnt_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Picture_12_SpCnt_2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18" name="Picture_11_SpCnt_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Picture_11_SpCnt_2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19" name="Picture_2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Picture_2_SpCnt_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20" name="Picture_13_SpCnt_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Picture_13_SpCnt_3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21" name="Picture_11_SpCnt_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Picture_11_SpCnt_2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22" name="Picture_13_SpCnt_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Picture_13_SpCnt_3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23" name="Picture_11_SpCnt_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Picture_11_SpCnt_2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24" name="Picture_13_SpCnt_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Picture_13_SpCnt_3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25" name="Picture_13_SpCnt_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Picture_13_SpCnt_3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26" name="Picture_13_SpCnt_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Picture_13_SpCnt_3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27" name="Picture_10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Picture_10_SpCnt_1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28" name="Picture_13_SpCnt_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Picture_13_SpCnt_4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29" name="Picture_2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Picture_2_SpCnt_1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30" name="Picture_13_SpCnt_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Picture_13_SpCnt_4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31" name="Picture_2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Picture_2_SpCnt_1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32" name="Picture_2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Picture_2_SpCnt_1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33" name="Picture_10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Picture_10_SpCnt_1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34" name="Picture_1_SpCnt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Picture_1_SpCnt_1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35" name="Picture_1_SpCnt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Picture_1_SpCnt_1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36" name="Picture_12_SpCnt_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Picture_12_SpCnt_2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37" name="Picture_13_SpCnt_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Picture_13_SpCnt_4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38" name="Picture_10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Picture_10_SpCnt_1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39" name="Picture_13_SpCnt_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Picture_13_SpCnt_4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40" name="Picture_1_SpCnt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Picture_1_SpCnt_1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41" name="Picture_11_SpCnt_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Picture_11_SpCnt_2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42" name="Picture_10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Picture_10_SpCnt_1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43" name="Picture_12_SpCnt_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Picture_12_SpCnt_2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44" name="Picture_12_SpCnt_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Picture_12_SpCnt_2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45" name="Picture_11_SpCnt_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Picture_11_SpCnt_2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46" name="Picture_13_SpCnt_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Picture_13_SpCnt_4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47" name="Picture_11_SpCnt_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Picture_11_SpCnt_2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48" name="Picture_13_SpCnt_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Picture_13_SpCnt_4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49" name="Picture_13_SpCnt_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Picture_13_SpCnt_4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50" name="Picture_12_SpCnt_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Picture_12_SpCnt_2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51" name="Picture_10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Picture_10_SpCnt_1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52" name="Picture_10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Picture_10_SpCnt_1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53" name="Picture_12_SpCnt_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Picture_12_SpCnt_2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54" name="Picture_13_SpCnt_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Picture_13_SpCnt_4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55" name="Picture_2_SpCnt_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Picture_2_SpCnt_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56" name="Picture_10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Picture_10_SpCnt_1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57" name="Picture_13_SpCnt_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" name="Picture_13_SpCnt_4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58" name="Picture_13_SpCnt_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Picture_13_SpCnt_4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59" name="Picture_1_SpCnt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" name="Picture_1_SpCnt_1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60" name="Picture_10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Picture_10_SpCnt_1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61" name="Picture_13_SpCnt_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Picture_13_SpCnt_5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62" name="Picture_11_SpCnt_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Picture_11_SpCnt_2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63" name="Picture_10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_10_SpCnt_1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64" name="Picture_11_SpCnt_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Picture_11_SpCnt_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65" name="Picture_12_SpCnt_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_12_SpCnt_2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66" name="Picture_2_SpCnt_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Picture_2_SpCnt_2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67" name="Picture_12_SpCnt_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" name="Picture_12_SpCnt_3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68" name="Picture_1_SpCnt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Picture_1_SpCnt_1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69" name="Picture_2_SpCnt_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Picture_2_SpCnt_2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70" name="Picture_11_SpCnt_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Picture_11_SpCnt_2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71" name="Picture_12_SpCnt_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" name="Picture_12_SpCnt_3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72" name="Picture_12_SpCnt_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Picture_12_SpCnt_3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73" name="Picture_11_SpCnt_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" name="Picture_11_SpCnt_2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74" name="Picture_13_SpCnt_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Picture_13_SpCnt_5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75" name="Picture_1_SpCnt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" name="Picture_1_SpCnt_1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76" name="Picture_13_SpCnt_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Picture_13_SpCnt_5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77" name="Picture_13_SpCnt_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" name="Picture_13_SpCnt_5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78" name="Picture_2_SpCnt_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Picture_2_SpCnt_2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79" name="Picture_11_SpCnt_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Picture_11_SpCnt_3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80" name="Picture_13_SpCnt_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Picture_13_SpCnt_5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81" name="Picture_13_SpCnt_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" name="Picture_13_SpCnt_5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82" name="Picture_12_SpCnt_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Picture_12_SpCnt_3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83" name="Picture_12_SpCnt_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Picture_12_SpCnt_3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84" name="Picture_13_SpCnt_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Picture_13_SpCnt_5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85" name="Picture_2_SpCnt_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" name="Picture_2_SpCnt_2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86" name="Picture_2_SpCnt_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Picture_2_SpCnt_2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87" name="Picture_13_SpCnt_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" name="Picture_13_SpCnt_5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88" name="Picture_1_SpCnt_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Picture_1_SpCnt_1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89" name="Picture_11_SpCnt_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" name="Picture_11_SpCnt_3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90" name="Picture_11_SpCnt_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Picture_11_SpCnt_3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91" name="Picture_13_SpCnt_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" name="Picture_13_SpCnt_5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92" name="Picture_2_SpCnt_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Picture_2_SpCnt_2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93" name="Picture_11_SpCnt_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" name="Picture_11_SpCnt_3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94" name="Picture_12_SpCnt_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Picture_12_SpCnt_3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95" name="Picture_11_SpCnt_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Picture_11_SpCnt_3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96" name="Picture_11_SpCnt_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Picture_11_SpCnt_3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97" name="Picture_2_SpCnt_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Picture_2_SpCnt_2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98" name="Picture_1_SpCnt_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Picture_1_SpCnt_1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199" name="Picture_12_SpCnt_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" name="Picture_12_SpCnt_3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00" name="Picture_10_SpCnt_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Picture_10_SpCnt_2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01" name="Picture_13_SpCnt_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Picture_13_SpCnt_5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02" name="Picture_1_SpCnt_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Picture_1_SpCnt_1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03" name="Picture_11_SpCnt_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Picture_11_SpCnt_3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04" name="Picture_12_SpCnt_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Picture_12_SpCnt_3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05" name="Picture_2_SpCnt_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Picture_2_SpCnt_2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06" name="Picture_13_SpCnt_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Picture_13_SpCnt_6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07" name="Picture_11_SpCnt_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Picture_11_SpCnt_3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08" name="Picture_1_SpCnt_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Picture_1_SpCnt_2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09" name="Picture_12_SpCnt_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" name="Picture_12_SpCnt_3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10" name="Picture_12_SpCnt_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_12_SpCnt_3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11" name="Picture_2_SpCnt_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_2_SpCnt_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12" name="Picture_13_SpCnt_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" name="Picture_13_SpCnt_6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13" name="Picture_13_SpCnt_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Picture_13_SpCnt_6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14" name="Picture_13_SpCnt_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Picture_13_SpCnt_6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15" name="Picture_2_SpCnt_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Picture_2_SpCnt_3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16" name="Picture_1_SpCnt_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Picture_1_SpCnt_2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17" name="Picture_2_SpCnt_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7" name="Picture_2_SpCnt_3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18" name="Picture_13_SpCnt_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_13_SpCnt_6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19" name="Picture_13_SpCnt_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Picture_13_SpCnt_6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780" cy="18415"/>
                  <wp:effectExtent l="0" t="0" r="0" b="0"/>
                  <wp:wrapNone/>
                  <wp:docPr id="220" name="Picture_10_SpCnt_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" name="Picture_10_SpCnt_2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数字功放</w:t>
            </w:r>
          </w:p>
        </w:tc>
        <w:tc>
          <w:tcPr>
            <w:tcW w:w="6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支持IP网络广播通信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，支持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跨网段和跨路由通信。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支持市电供电，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电源电压适应能力强，内置保护电路，具有过载、过热，线路防雷击及浪涌保护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支持在线、离线广播，当网络中断时自动开启本地播放。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信噪比≥84dB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 xml:space="preserve">输出功率≥240W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接口： ≥1路话筒输入，≥1路线路输入，≥1路线路输出，≥1路报警输入，≥1路报警输出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操作方便快捷，实时查看网络状态信号，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配置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开关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音量旋钮。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全频天花喇叭</w:t>
            </w:r>
          </w:p>
        </w:tc>
        <w:tc>
          <w:tcPr>
            <w:tcW w:w="6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★单个喇叭额定功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率≥6W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无线排队呼叫器</w:t>
            </w:r>
          </w:p>
        </w:tc>
        <w:tc>
          <w:tcPr>
            <w:tcW w:w="6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★支持液晶显示，支持中文显示。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★内置无线通信模块，通信距离&gt;视距100m。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▲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支持无线信道设置，支持防通信碰撞，支持通信模块的故障测试。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有操作提示音，支持系统故障时声音提示。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无线收发器</w:t>
            </w:r>
          </w:p>
        </w:tc>
        <w:tc>
          <w:tcPr>
            <w:tcW w:w="6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支持与无线排队呼叫器配套使用，通信距离&gt;视距100m;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信息发布终端</w:t>
            </w:r>
          </w:p>
        </w:tc>
        <w:tc>
          <w:tcPr>
            <w:tcW w:w="6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★CPU：≥四核,主频≥1.6GHz；内存≥4GB；存储≥128GB；操作系统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Android 7.1；显示屏：≥32寸，高清LCD屏，分辨率≥1920*1080。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★媒体播放视频格式：支持播放MPEG-4、 H.265, H.264等常见视频文件，支持4k视频播放；支持播放MP3、WMA、AAC等常见音频格式文件；支持播放JPEG等常见图片格式文件。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支持WiFi无线网络、蓝牙和有线网络。接口：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RJ45网口≥1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USB ≥4。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易于维护：支持定时开关机；支持远程维护（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开机、关机、重启及设置定时开机时间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穿刺成功率显示终端</w:t>
            </w:r>
          </w:p>
        </w:tc>
        <w:tc>
          <w:tcPr>
            <w:tcW w:w="6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★CPU：≥四核,主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频≥1.6GHz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；内存≥2GB；存储≥16GB；操作系统≥Android 8.1；显示屏：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寸触摸屏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，分辨率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≥1280*800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喇叭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：数量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2个，单个喇叭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≥2W。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支持WiFi无线网络、蓝牙和有线网络。接口：RJ45网口≥1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媒体播放视频格式：支持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MPEG-4、 H.265, H.264等常见视频文件，支持4k视频播放；支持播放MP3、WMA、AAC等常见音频格式文件；支持播放JPEG等常见图片格式文件。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易于维护：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支持定时自动开关机，加电自启动，支持远程维护（开机、关机、重启及设置定时开机时间）。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智能排队管理系统</w:t>
            </w:r>
          </w:p>
        </w:tc>
        <w:tc>
          <w:tcPr>
            <w:tcW w:w="6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★支持多院区、多科室、多小组分权限管理，分布式排队。支持现场或线上（微信等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上进行预约排队，支持查询当前排队情况；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支持排队业务类型设置。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★可对呼叫器、窗口及用户进行灵活设置，支持医务人员按授权登录，并实时统计穿刺成功率等信息；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▲支持患者现场自助、（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微信等）扫码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等取号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方式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流水线叫号：一种业务能由多个窗口业务共同完成。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支持≥20个窗口同时呼叫，呼叫延时≤2秒；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自定义每种业务开始和结束办理的时间，每天处理的最大业务数量，支持业务暂停办理，支持每天限量取号设置；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▲呼叫语音提示：支持个性化呼叫语音设置，语音流畅自然，能提供以下几种语音提示方式：A：播放前导音加普通话；B：支持TTS任意呼叫合成语音；C：不播放语音。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系统提供完善的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查询、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统计、报表功能：支持统计每个窗口的业务办理情况，支持不同的业务种类进行统计功能；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呼叫显示多样化，支持窗口LED屏或液晶终端显示；呼叫语音与显示同步；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▲支持传统呼叫器呼叫、PDA呼叫等；具有网络故障提示功能；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★支持接入我院信息发布平台，支持将排队信息推送至平台，</w:t>
            </w:r>
            <w:r>
              <w:rPr>
                <w:rFonts w:hint="eastAsia"/>
                <w:lang w:val="en-US" w:eastAsia="zh-CN"/>
              </w:rPr>
              <w:t>所有相关接口费包含在本项目的投标报价中。（提供承诺函）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信息发布终端软件</w:t>
            </w:r>
          </w:p>
        </w:tc>
        <w:tc>
          <w:tcPr>
            <w:tcW w:w="6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信息发布终端软件运行在信息发布终端、穿刺成功率显示终端上，支持接入本院现有信息发布平台，接收并播放信息发布平台实时推送的音视频、图片、文字、排队信息等内容，所有相关接口费包含在本项目的投标报价中。（提供承诺函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▲支持灵活的节目排版：自由无限分区排版，支持视频、图片、滚动文字、 word、Excel、PPT、 PDF、时间、日期、天气、网页等常用元素；支持触摸互动查询；可自定义素材的播放时长；（提供佐证材料）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▲终端支持时间同步功能，支持自动与服务器同步时间，无需手动校准。（提供佐证材料）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▲安全性：插入U盘等设备后需要密码才能使用。（提供佐证材料）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▲终端支持视频同步播放，图片同步播放。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易于维护：支持远程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运维（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开机、关机、重启、调整音量、设置分辨率、定时开关机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执行命令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等）。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配套材料</w:t>
            </w:r>
          </w:p>
        </w:tc>
        <w:tc>
          <w:tcPr>
            <w:tcW w:w="6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ind w:left="425" w:leftChars="0" w:hanging="425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系统建设所需的全部耗材，包括但不限于网络交换机、光纤、网线、电源线、开关等。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批</w:t>
            </w:r>
          </w:p>
        </w:tc>
      </w:tr>
    </w:tbl>
    <w:p>
      <w:pPr>
        <w:spacing w:line="400" w:lineRule="exact"/>
        <w:jc w:val="left"/>
        <w:rPr>
          <w:rFonts w:asciiTheme="minorEastAsia" w:hAnsiTheme="minorEastAsia" w:eastAsiaTheme="minorEastAsia"/>
          <w:szCs w:val="21"/>
        </w:rPr>
      </w:pPr>
    </w:p>
    <w:p>
      <w:pPr>
        <w:spacing w:line="400" w:lineRule="exact"/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2"/>
        <w:snapToGrid w:val="0"/>
        <w:spacing w:line="24" w:lineRule="atLeast"/>
      </w:pPr>
      <w:r>
        <w:rPr>
          <w:rFonts w:hint="eastAsia"/>
        </w:rPr>
        <w:t>★商务要求</w:t>
      </w:r>
    </w:p>
    <w:p>
      <w:pPr>
        <w:pStyle w:val="3"/>
        <w:snapToGrid w:val="0"/>
        <w:spacing w:line="24" w:lineRule="atLeast"/>
      </w:pPr>
      <w:r>
        <w:rPr>
          <w:rFonts w:hint="eastAsia"/>
        </w:rPr>
        <w:t>项目实施完成期限及地点</w:t>
      </w:r>
    </w:p>
    <w:p>
      <w:pPr>
        <w:numPr>
          <w:ilvl w:val="0"/>
          <w:numId w:val="5"/>
        </w:numPr>
        <w:snapToGrid w:val="0"/>
        <w:spacing w:line="24" w:lineRule="atLeast"/>
        <w:contextualSpacing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项目工期</w:t>
      </w:r>
      <w:r>
        <w:rPr>
          <w:rFonts w:hint="eastAsia" w:ascii="宋体" w:hAnsi="宋体" w:cs="宋体"/>
          <w:szCs w:val="21"/>
        </w:rPr>
        <w:t>：合同签订后30天内投标人</w:t>
      </w:r>
      <w:r>
        <w:rPr>
          <w:rFonts w:hint="eastAsia" w:ascii="宋体" w:hAnsi="宋体" w:cs="宋体"/>
          <w:szCs w:val="21"/>
          <w:lang w:val="en-US" w:eastAsia="zh-CN"/>
        </w:rPr>
        <w:t>完成送货；甲方通知开工后30日内完成</w:t>
      </w:r>
      <w:r>
        <w:rPr>
          <w:rFonts w:hint="eastAsia" w:ascii="宋体" w:hAnsi="宋体" w:cs="宋体"/>
          <w:szCs w:val="21"/>
        </w:rPr>
        <w:t>安装调试，交付采购人验收。</w:t>
      </w:r>
    </w:p>
    <w:p>
      <w:pPr>
        <w:numPr>
          <w:ilvl w:val="0"/>
          <w:numId w:val="5"/>
        </w:numPr>
        <w:snapToGrid w:val="0"/>
        <w:spacing w:line="24" w:lineRule="atLeast"/>
        <w:contextualSpacing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实施</w:t>
      </w:r>
      <w:r>
        <w:rPr>
          <w:rFonts w:hint="eastAsia" w:ascii="宋体" w:hAnsi="宋体" w:cs="宋体"/>
          <w:szCs w:val="21"/>
        </w:rPr>
        <w:t>地点：四川省妇幼保健院</w:t>
      </w:r>
      <w:r>
        <w:rPr>
          <w:rFonts w:hint="eastAsia" w:ascii="宋体" w:hAnsi="宋体" w:cs="宋体"/>
          <w:szCs w:val="21"/>
          <w:lang w:eastAsia="zh-CN"/>
        </w:rPr>
        <w:t>。</w:t>
      </w:r>
    </w:p>
    <w:p>
      <w:pPr>
        <w:pStyle w:val="3"/>
        <w:snapToGrid w:val="0"/>
        <w:spacing w:line="24" w:lineRule="atLeast"/>
      </w:pPr>
      <w:r>
        <w:rPr>
          <w:rFonts w:hint="eastAsia"/>
        </w:rPr>
        <w:t>付款方法和条件：</w:t>
      </w:r>
    </w:p>
    <w:p>
      <w:pPr>
        <w:snapToGrid w:val="0"/>
        <w:spacing w:line="24" w:lineRule="atLeast"/>
        <w:ind w:left="210" w:leftChars="100" w:firstLine="420" w:firstLineChars="200"/>
        <w:contextualSpacing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合同签订支付</w:t>
      </w:r>
      <w:r>
        <w:rPr>
          <w:rFonts w:hint="eastAsia" w:ascii="宋体" w:hAnsi="宋体" w:cs="宋体"/>
          <w:bCs/>
          <w:szCs w:val="21"/>
          <w:lang w:val="en-US" w:eastAsia="zh-CN"/>
        </w:rPr>
        <w:t>2</w:t>
      </w:r>
      <w:r>
        <w:rPr>
          <w:rFonts w:hint="eastAsia" w:ascii="宋体" w:hAnsi="宋体" w:cs="宋体"/>
          <w:bCs/>
          <w:szCs w:val="21"/>
        </w:rPr>
        <w:t>0%，验收后支付</w:t>
      </w:r>
      <w:r>
        <w:rPr>
          <w:rFonts w:hint="eastAsia" w:ascii="宋体" w:hAnsi="宋体" w:cs="宋体"/>
          <w:bCs/>
          <w:szCs w:val="21"/>
          <w:lang w:val="en-US" w:eastAsia="zh-CN"/>
        </w:rPr>
        <w:t>7</w:t>
      </w:r>
      <w:r>
        <w:rPr>
          <w:rFonts w:hint="eastAsia" w:ascii="宋体" w:hAnsi="宋体" w:cs="宋体"/>
          <w:bCs/>
          <w:szCs w:val="21"/>
        </w:rPr>
        <w:t>0%，质保结束支付10%。</w:t>
      </w:r>
    </w:p>
    <w:p>
      <w:pPr>
        <w:pStyle w:val="3"/>
        <w:snapToGrid w:val="0"/>
        <w:spacing w:line="24" w:lineRule="atLeast"/>
      </w:pPr>
      <w:r>
        <w:rPr>
          <w:rFonts w:hint="eastAsia"/>
        </w:rPr>
        <w:t>售后服务</w:t>
      </w:r>
    </w:p>
    <w:p>
      <w:pPr>
        <w:pageBreakBefore w:val="0"/>
        <w:kinsoku/>
        <w:wordWrap/>
        <w:topLinePunct w:val="0"/>
        <w:bidi w:val="0"/>
        <w:spacing w:line="640" w:lineRule="exact"/>
        <w:ind w:firstLine="42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质保</w:t>
      </w:r>
      <w:r>
        <w:rPr>
          <w:rFonts w:hint="eastAsia" w:ascii="Times New Roman" w:hAnsi="Times New Roman" w:eastAsia="宋体" w:cs="Times New Roman"/>
        </w:rPr>
        <w:t>期：</w:t>
      </w:r>
      <w:r>
        <w:rPr>
          <w:rFonts w:hint="eastAsia" w:ascii="Times New Roman" w:hAnsi="Times New Roman" w:eastAsia="宋体" w:cs="Times New Roman"/>
          <w:lang w:val="en-US" w:eastAsia="zh-CN"/>
        </w:rPr>
        <w:t>3年</w:t>
      </w:r>
      <w:r>
        <w:rPr>
          <w:rFonts w:hint="eastAsia" w:ascii="Times New Roman" w:hAnsi="Times New Roman" w:eastAsia="宋体" w:cs="Times New Roman"/>
        </w:rPr>
        <w:t>。</w:t>
      </w:r>
    </w:p>
    <w:p>
      <w:pPr>
        <w:pStyle w:val="3"/>
        <w:snapToGrid w:val="0"/>
        <w:spacing w:line="24" w:lineRule="atLeast"/>
      </w:pPr>
      <w:r>
        <w:rPr>
          <w:rFonts w:hint="eastAsia"/>
        </w:rPr>
        <w:t>报价要求</w:t>
      </w:r>
    </w:p>
    <w:p>
      <w:pPr>
        <w:snapToGrid w:val="0"/>
        <w:spacing w:line="24" w:lineRule="atLeast"/>
        <w:ind w:left="210" w:leftChars="100" w:firstLine="420" w:firstLineChars="200"/>
        <w:contextualSpacing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本次报价包含完成本项目的所有费用，包含项目调研、咨询服务、方案制定、部署实施、税费等费用。</w:t>
      </w:r>
    </w:p>
    <w:p>
      <w:pPr>
        <w:pStyle w:val="3"/>
        <w:snapToGrid w:val="0"/>
        <w:spacing w:line="24" w:lineRule="atLeast"/>
      </w:pPr>
      <w:r>
        <w:rPr>
          <w:rFonts w:hint="eastAsia"/>
        </w:rPr>
        <w:t>验收标准：</w:t>
      </w:r>
    </w:p>
    <w:p>
      <w:pPr>
        <w:snapToGrid w:val="0"/>
        <w:spacing w:line="24" w:lineRule="atLeast"/>
        <w:ind w:left="210" w:leftChars="100" w:firstLine="420" w:firstLineChars="200"/>
        <w:contextualSpacing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1）中标人与采购人将严格按照《财政部关于进一步加强政府采购需求和履约验收管理的指导意见》(财库〔2016〕205号)的要求进行验收。</w:t>
      </w:r>
    </w:p>
    <w:p>
      <w:pPr>
        <w:snapToGrid w:val="0"/>
        <w:spacing w:after="160" w:line="24" w:lineRule="atLeast"/>
        <w:ind w:left="210" w:leftChars="100" w:firstLine="420" w:firstLineChars="200"/>
        <w:contextualSpacing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2）以招标文件技术参数及要求和相关行业标准为准。</w:t>
      </w:r>
    </w:p>
    <w:p>
      <w:pPr>
        <w:pStyle w:val="2"/>
        <w:spacing w:line="24" w:lineRule="atLeast"/>
      </w:pPr>
      <w:r>
        <w:rPr>
          <w:rFonts w:hint="eastAsia"/>
        </w:rPr>
        <w:t>评分标准</w:t>
      </w: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</w:rPr>
      </w:pPr>
      <w:r>
        <w:rPr>
          <w:rFonts w:hint="eastAsia" w:ascii="ËÎÌå" w:hAnsi="ËÎÌå" w:cs="ËÎÌå"/>
          <w:kern w:val="0"/>
          <w:sz w:val="24"/>
        </w:rPr>
        <w:t>评审</w:t>
      </w:r>
      <w:r>
        <w:rPr>
          <w:rFonts w:hint="eastAsia" w:ascii="宋体" w:cs="宋体"/>
          <w:kern w:val="0"/>
          <w:sz w:val="24"/>
        </w:rPr>
        <w:t>将按以下评标方法与标准，对供应商同时进行商务和技术评估，综合比较与评价。</w:t>
      </w:r>
    </w:p>
    <w:p>
      <w:pPr>
        <w:pStyle w:val="12"/>
        <w:rPr>
          <w:rFonts w:ascii="宋体" w:cs="宋体"/>
          <w:kern w:val="0"/>
          <w:sz w:val="24"/>
        </w:rPr>
      </w:pPr>
    </w:p>
    <w:tbl>
      <w:tblPr>
        <w:tblStyle w:val="20"/>
        <w:tblW w:w="89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1356"/>
        <w:gridCol w:w="846"/>
        <w:gridCol w:w="5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2" w:hRule="atLeast"/>
          <w:jc w:val="center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ind w:firstLine="28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评分因素及权重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ind w:firstLine="28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分值</w:t>
            </w:r>
          </w:p>
        </w:tc>
        <w:tc>
          <w:tcPr>
            <w:tcW w:w="5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ind w:firstLine="28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" w:hRule="atLeast"/>
          <w:jc w:val="center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ind w:firstLine="28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ind w:firstLine="28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报价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ind w:firstLine="28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30分</w:t>
            </w:r>
          </w:p>
        </w:tc>
        <w:tc>
          <w:tcPr>
            <w:tcW w:w="5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满足招标文件要求且投标价格最低的投标报价为评标基准价，其服务提供商的报价分为最高分30分。其他服务提供商的报价分按以下公式计算：报价得分=(评标基准价／投标报价)×0.30×100。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5" w:hRule="atLeast"/>
          <w:jc w:val="center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>技术参数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35</w:t>
            </w:r>
          </w:p>
        </w:tc>
        <w:tc>
          <w:tcPr>
            <w:tcW w:w="5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标有★符条款为实质性要求不允许负偏离，否则认为不满足作废标处理。</w:t>
            </w:r>
          </w:p>
          <w:p>
            <w:pPr>
              <w:numPr>
                <w:ilvl w:val="0"/>
                <w:numId w:val="6"/>
              </w:num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技术要求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中标有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▲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符号的条款是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重要技术要求（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项）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和未标注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★或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▲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的条款是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一般技术要求（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项），完全满足无负偏离的得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分。</w:t>
            </w:r>
          </w:p>
          <w:p>
            <w:pPr>
              <w:numPr>
                <w:ilvl w:val="0"/>
                <w:numId w:val="6"/>
              </w:num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带▲号的重要技术要求共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分，每有一项不满足的，扣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分。一般技术要求共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分，每有一项不满足的，扣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0.5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分。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  <w:jc w:val="center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>履约能力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20</w:t>
            </w:r>
          </w:p>
        </w:tc>
        <w:tc>
          <w:tcPr>
            <w:tcW w:w="5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7"/>
              </w:num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投标人为本项目配置的项目小组中，项目组组长具有信息系统项目管理师证书得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。</w:t>
            </w:r>
          </w:p>
          <w:p>
            <w:pPr>
              <w:numPr>
                <w:ilvl w:val="0"/>
                <w:numId w:val="7"/>
              </w:num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本项目中的“智能排队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管理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系统”是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投标人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自主研发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并取得软件著作权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的得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5分，未提供不得分。</w:t>
            </w:r>
          </w:p>
          <w:p>
            <w:pPr>
              <w:numPr>
                <w:ilvl w:val="0"/>
                <w:numId w:val="7"/>
              </w:num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本项目中的“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信息发布终端软件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”是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投标人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自主研发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并取得软件著作权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的得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5分，未提供不得分。</w:t>
            </w:r>
          </w:p>
          <w:p>
            <w:pPr>
              <w:pStyle w:val="11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71" w:rightChars="34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4、供应商提供2021年1月1日（含）以来的类似项目业绩，每提供一个得2.5分，最多得5分； 需同时提供合同复印件和验收文件，未提供不得分。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atLeast"/>
          <w:jc w:val="center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>4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>项目实施方案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15</w:t>
            </w:r>
          </w:p>
        </w:tc>
        <w:tc>
          <w:tcPr>
            <w:tcW w:w="5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根据供应商提供的针对本项目的实施方案进行综合评审，包含：①项目组网/功能设计；②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进度计划和实施步骤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；③培训方案；④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售后服务人员配置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；⑤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售后响应时效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。</w:t>
            </w:r>
            <w:r>
              <w:rPr>
                <w:rFonts w:hint="eastAsia" w:ascii="宋体" w:hAnsi="宋体" w:eastAsia="宋体" w:cs="宋体"/>
                <w:b w:val="0"/>
                <w:bCs w:val="0"/>
                <w:strike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以上内容完整且满足本项目实际需求得满分。每有一项缺失的扣3分；每有一项存在错误或缺陷的扣1分，扣完为止。未提供的不得分。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</w:rPr>
      </w:pPr>
    </w:p>
    <w:p>
      <w:pPr>
        <w:spacing w:line="400" w:lineRule="exact"/>
        <w:jc w:val="left"/>
        <w:rPr>
          <w:rFonts w:asciiTheme="minorEastAsia" w:hAnsiTheme="minorEastAsia" w:eastAsiaTheme="minorEastAsia"/>
          <w:b/>
          <w:sz w:val="28"/>
          <w:szCs w:val="28"/>
        </w:rPr>
      </w:pPr>
    </w:p>
    <w:p>
      <w:pPr>
        <w:spacing w:line="400" w:lineRule="exact"/>
        <w:jc w:val="left"/>
        <w:rPr>
          <w:rFonts w:asciiTheme="minorEastAsia" w:hAnsiTheme="minorEastAsia" w:eastAsiaTheme="minorEastAsia"/>
          <w:szCs w:val="21"/>
        </w:rPr>
      </w:pPr>
    </w:p>
    <w:sectPr>
      <w:pgSz w:w="11906" w:h="16838"/>
      <w:pgMar w:top="851" w:right="1800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ËÎÌå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E44B7C"/>
    <w:multiLevelType w:val="singleLevel"/>
    <w:tmpl w:val="92E44B7C"/>
    <w:lvl w:ilvl="0" w:tentative="0">
      <w:start w:val="1"/>
      <w:numFmt w:val="decimal"/>
      <w:suff w:val="space"/>
      <w:lvlText w:val="%1."/>
      <w:lvlJc w:val="left"/>
      <w:pPr>
        <w:ind w:left="420"/>
      </w:pPr>
    </w:lvl>
  </w:abstractNum>
  <w:abstractNum w:abstractNumId="1">
    <w:nsid w:val="CB7A64DD"/>
    <w:multiLevelType w:val="singleLevel"/>
    <w:tmpl w:val="CB7A64D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EAF11306"/>
    <w:multiLevelType w:val="singleLevel"/>
    <w:tmpl w:val="EAF11306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F2120F9A"/>
    <w:multiLevelType w:val="multilevel"/>
    <w:tmpl w:val="F2120F9A"/>
    <w:lvl w:ilvl="0" w:tentative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 w:tentative="0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4">
    <w:nsid w:val="000DC265"/>
    <w:multiLevelType w:val="multilevel"/>
    <w:tmpl w:val="000DC265"/>
    <w:lvl w:ilvl="0" w:tentative="0">
      <w:start w:val="1"/>
      <w:numFmt w:val="decimal"/>
      <w:pStyle w:val="2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3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pStyle w:val="4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5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7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8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9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0"/>
      <w:lvlText w:val="%1.%2.%3.%4.%5.%6.%7.%8.%9."/>
      <w:lvlJc w:val="left"/>
      <w:pPr>
        <w:ind w:left="1583" w:hanging="1583"/>
      </w:pPr>
      <w:rPr>
        <w:rFonts w:hint="default"/>
      </w:rPr>
    </w:lvl>
  </w:abstractNum>
  <w:abstractNum w:abstractNumId="5">
    <w:nsid w:val="43DD5B47"/>
    <w:multiLevelType w:val="singleLevel"/>
    <w:tmpl w:val="43DD5B4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56DE575A"/>
    <w:multiLevelType w:val="singleLevel"/>
    <w:tmpl w:val="56DE575A"/>
    <w:lvl w:ilvl="0" w:tentative="0">
      <w:start w:val="1"/>
      <w:numFmt w:val="decimal"/>
      <w:suff w:val="space"/>
      <w:lvlText w:val="%1."/>
      <w:lvlJc w:val="left"/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8AD"/>
    <w:rsid w:val="00000301"/>
    <w:rsid w:val="00003615"/>
    <w:rsid w:val="000201D6"/>
    <w:rsid w:val="00024D63"/>
    <w:rsid w:val="00040A20"/>
    <w:rsid w:val="00044AFA"/>
    <w:rsid w:val="00054549"/>
    <w:rsid w:val="000661FD"/>
    <w:rsid w:val="000738C3"/>
    <w:rsid w:val="00080984"/>
    <w:rsid w:val="000822B0"/>
    <w:rsid w:val="000A07C7"/>
    <w:rsid w:val="000B4E7B"/>
    <w:rsid w:val="000C2AA2"/>
    <w:rsid w:val="000E626F"/>
    <w:rsid w:val="00104963"/>
    <w:rsid w:val="00110EE9"/>
    <w:rsid w:val="00136843"/>
    <w:rsid w:val="00145999"/>
    <w:rsid w:val="001A40E7"/>
    <w:rsid w:val="001C0B82"/>
    <w:rsid w:val="001D5B6C"/>
    <w:rsid w:val="002047FB"/>
    <w:rsid w:val="00211941"/>
    <w:rsid w:val="00211F56"/>
    <w:rsid w:val="00213079"/>
    <w:rsid w:val="00213FB5"/>
    <w:rsid w:val="00227590"/>
    <w:rsid w:val="00235631"/>
    <w:rsid w:val="00245A0A"/>
    <w:rsid w:val="00275553"/>
    <w:rsid w:val="00282CF0"/>
    <w:rsid w:val="002904A8"/>
    <w:rsid w:val="0029319A"/>
    <w:rsid w:val="00294FEB"/>
    <w:rsid w:val="002C05F6"/>
    <w:rsid w:val="002C6CF3"/>
    <w:rsid w:val="002F3CD0"/>
    <w:rsid w:val="003024A8"/>
    <w:rsid w:val="00304C32"/>
    <w:rsid w:val="00316B2F"/>
    <w:rsid w:val="0031785C"/>
    <w:rsid w:val="003552C8"/>
    <w:rsid w:val="00361DB3"/>
    <w:rsid w:val="00392BE3"/>
    <w:rsid w:val="003A03EF"/>
    <w:rsid w:val="003D6AE3"/>
    <w:rsid w:val="003E4CAB"/>
    <w:rsid w:val="003F0215"/>
    <w:rsid w:val="003F4F19"/>
    <w:rsid w:val="00400E66"/>
    <w:rsid w:val="004026F6"/>
    <w:rsid w:val="00405365"/>
    <w:rsid w:val="00452673"/>
    <w:rsid w:val="004647C4"/>
    <w:rsid w:val="0046641E"/>
    <w:rsid w:val="00466991"/>
    <w:rsid w:val="00484B78"/>
    <w:rsid w:val="00487F34"/>
    <w:rsid w:val="004B4F06"/>
    <w:rsid w:val="004C2EF2"/>
    <w:rsid w:val="004C7BD7"/>
    <w:rsid w:val="004D0FCA"/>
    <w:rsid w:val="004D5814"/>
    <w:rsid w:val="004D590F"/>
    <w:rsid w:val="004E028A"/>
    <w:rsid w:val="004E360C"/>
    <w:rsid w:val="004E5CE4"/>
    <w:rsid w:val="00513326"/>
    <w:rsid w:val="0053640E"/>
    <w:rsid w:val="0053652E"/>
    <w:rsid w:val="00555EBD"/>
    <w:rsid w:val="00567690"/>
    <w:rsid w:val="00583600"/>
    <w:rsid w:val="005D4477"/>
    <w:rsid w:val="005E39CE"/>
    <w:rsid w:val="006036D4"/>
    <w:rsid w:val="0062366B"/>
    <w:rsid w:val="00625031"/>
    <w:rsid w:val="00634F55"/>
    <w:rsid w:val="0064193E"/>
    <w:rsid w:val="006449DB"/>
    <w:rsid w:val="0064699C"/>
    <w:rsid w:val="00653978"/>
    <w:rsid w:val="006563E1"/>
    <w:rsid w:val="006563E4"/>
    <w:rsid w:val="00657F33"/>
    <w:rsid w:val="00660D08"/>
    <w:rsid w:val="00676889"/>
    <w:rsid w:val="006768E1"/>
    <w:rsid w:val="00676DF0"/>
    <w:rsid w:val="00697937"/>
    <w:rsid w:val="006A04D6"/>
    <w:rsid w:val="006F7A7F"/>
    <w:rsid w:val="00701FD2"/>
    <w:rsid w:val="00721449"/>
    <w:rsid w:val="00726B45"/>
    <w:rsid w:val="00727DC5"/>
    <w:rsid w:val="00732A73"/>
    <w:rsid w:val="00747638"/>
    <w:rsid w:val="00756E75"/>
    <w:rsid w:val="007648DC"/>
    <w:rsid w:val="00765BBA"/>
    <w:rsid w:val="007772C0"/>
    <w:rsid w:val="00780971"/>
    <w:rsid w:val="00783596"/>
    <w:rsid w:val="00791408"/>
    <w:rsid w:val="00795111"/>
    <w:rsid w:val="007B375B"/>
    <w:rsid w:val="007C5D6F"/>
    <w:rsid w:val="007D3E4A"/>
    <w:rsid w:val="007E0B5A"/>
    <w:rsid w:val="00801661"/>
    <w:rsid w:val="00823492"/>
    <w:rsid w:val="0083233B"/>
    <w:rsid w:val="00857054"/>
    <w:rsid w:val="00877679"/>
    <w:rsid w:val="008958F4"/>
    <w:rsid w:val="008965C9"/>
    <w:rsid w:val="008A7AE5"/>
    <w:rsid w:val="008B54F0"/>
    <w:rsid w:val="008B601D"/>
    <w:rsid w:val="008F5EEF"/>
    <w:rsid w:val="009102FB"/>
    <w:rsid w:val="0091762D"/>
    <w:rsid w:val="00917C76"/>
    <w:rsid w:val="00963612"/>
    <w:rsid w:val="00973674"/>
    <w:rsid w:val="0097708A"/>
    <w:rsid w:val="009A07CB"/>
    <w:rsid w:val="009C1A43"/>
    <w:rsid w:val="009C2814"/>
    <w:rsid w:val="009C53BC"/>
    <w:rsid w:val="009E37E2"/>
    <w:rsid w:val="009E5502"/>
    <w:rsid w:val="00A063F4"/>
    <w:rsid w:val="00A11A37"/>
    <w:rsid w:val="00A23D65"/>
    <w:rsid w:val="00A30268"/>
    <w:rsid w:val="00A54CD2"/>
    <w:rsid w:val="00AA60B0"/>
    <w:rsid w:val="00AB335D"/>
    <w:rsid w:val="00AD3826"/>
    <w:rsid w:val="00AE06D4"/>
    <w:rsid w:val="00AE1E3D"/>
    <w:rsid w:val="00AE543E"/>
    <w:rsid w:val="00B04326"/>
    <w:rsid w:val="00B22DD7"/>
    <w:rsid w:val="00B4347D"/>
    <w:rsid w:val="00B464C2"/>
    <w:rsid w:val="00B544BE"/>
    <w:rsid w:val="00B90ACE"/>
    <w:rsid w:val="00B929E5"/>
    <w:rsid w:val="00BC5880"/>
    <w:rsid w:val="00BE0483"/>
    <w:rsid w:val="00BE371C"/>
    <w:rsid w:val="00BF18AD"/>
    <w:rsid w:val="00BF2D38"/>
    <w:rsid w:val="00C041AC"/>
    <w:rsid w:val="00C1617F"/>
    <w:rsid w:val="00C22826"/>
    <w:rsid w:val="00C35571"/>
    <w:rsid w:val="00C5245D"/>
    <w:rsid w:val="00C52DB7"/>
    <w:rsid w:val="00C61036"/>
    <w:rsid w:val="00C64B06"/>
    <w:rsid w:val="00C66CCD"/>
    <w:rsid w:val="00C72051"/>
    <w:rsid w:val="00C77FE7"/>
    <w:rsid w:val="00C8191A"/>
    <w:rsid w:val="00C82D66"/>
    <w:rsid w:val="00C8342C"/>
    <w:rsid w:val="00C95B0D"/>
    <w:rsid w:val="00CC1B84"/>
    <w:rsid w:val="00CD5315"/>
    <w:rsid w:val="00CE66AE"/>
    <w:rsid w:val="00D35601"/>
    <w:rsid w:val="00D43932"/>
    <w:rsid w:val="00D67F34"/>
    <w:rsid w:val="00D83EEC"/>
    <w:rsid w:val="00D85B55"/>
    <w:rsid w:val="00DB4814"/>
    <w:rsid w:val="00DB5B78"/>
    <w:rsid w:val="00DB6DE7"/>
    <w:rsid w:val="00DB6E79"/>
    <w:rsid w:val="00DD2AE7"/>
    <w:rsid w:val="00DE1293"/>
    <w:rsid w:val="00DF1B25"/>
    <w:rsid w:val="00E15FF8"/>
    <w:rsid w:val="00E20952"/>
    <w:rsid w:val="00E31351"/>
    <w:rsid w:val="00E63074"/>
    <w:rsid w:val="00E74110"/>
    <w:rsid w:val="00E8004C"/>
    <w:rsid w:val="00E94E68"/>
    <w:rsid w:val="00ED4B98"/>
    <w:rsid w:val="00EF5F48"/>
    <w:rsid w:val="00F12B03"/>
    <w:rsid w:val="00F2794C"/>
    <w:rsid w:val="00F313D2"/>
    <w:rsid w:val="00F46DF9"/>
    <w:rsid w:val="00F55435"/>
    <w:rsid w:val="00F70C8F"/>
    <w:rsid w:val="00F727F9"/>
    <w:rsid w:val="00F80F0F"/>
    <w:rsid w:val="00F81A5C"/>
    <w:rsid w:val="00F87302"/>
    <w:rsid w:val="00FD022E"/>
    <w:rsid w:val="00FE1432"/>
    <w:rsid w:val="04D441E1"/>
    <w:rsid w:val="05A06A2E"/>
    <w:rsid w:val="0BD613F8"/>
    <w:rsid w:val="10FD3695"/>
    <w:rsid w:val="13645F2E"/>
    <w:rsid w:val="146A1E9A"/>
    <w:rsid w:val="151C5334"/>
    <w:rsid w:val="155E4288"/>
    <w:rsid w:val="17F82566"/>
    <w:rsid w:val="1C1E2D34"/>
    <w:rsid w:val="1D9F3686"/>
    <w:rsid w:val="231A4A0C"/>
    <w:rsid w:val="248B1A81"/>
    <w:rsid w:val="251E300D"/>
    <w:rsid w:val="277D76FF"/>
    <w:rsid w:val="2C606964"/>
    <w:rsid w:val="2E304F42"/>
    <w:rsid w:val="2EEC0BE5"/>
    <w:rsid w:val="33A958B3"/>
    <w:rsid w:val="37664724"/>
    <w:rsid w:val="37D82CD4"/>
    <w:rsid w:val="3BAE2FF9"/>
    <w:rsid w:val="41DC56FA"/>
    <w:rsid w:val="42041C2F"/>
    <w:rsid w:val="433C513D"/>
    <w:rsid w:val="44856E85"/>
    <w:rsid w:val="4BA100F2"/>
    <w:rsid w:val="4C035D33"/>
    <w:rsid w:val="4E2D575B"/>
    <w:rsid w:val="512D352C"/>
    <w:rsid w:val="54AC316C"/>
    <w:rsid w:val="560B0D5B"/>
    <w:rsid w:val="59140B59"/>
    <w:rsid w:val="5A0B0AAA"/>
    <w:rsid w:val="5BE84759"/>
    <w:rsid w:val="5D365988"/>
    <w:rsid w:val="5F1469B4"/>
    <w:rsid w:val="615269E1"/>
    <w:rsid w:val="62A11641"/>
    <w:rsid w:val="63716321"/>
    <w:rsid w:val="646E49A1"/>
    <w:rsid w:val="64801E5D"/>
    <w:rsid w:val="6492257A"/>
    <w:rsid w:val="65453C99"/>
    <w:rsid w:val="65643E82"/>
    <w:rsid w:val="66E04A8F"/>
    <w:rsid w:val="67A97619"/>
    <w:rsid w:val="68687C6F"/>
    <w:rsid w:val="6BA23E73"/>
    <w:rsid w:val="7272103F"/>
    <w:rsid w:val="73C743EF"/>
    <w:rsid w:val="7BD717A6"/>
    <w:rsid w:val="7E2C7C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7"/>
    <w:qFormat/>
    <w:uiPriority w:val="0"/>
    <w:pPr>
      <w:keepNext/>
      <w:keepLines/>
      <w:numPr>
        <w:ilvl w:val="1"/>
        <w:numId w:val="1"/>
      </w:numPr>
      <w:tabs>
        <w:tab w:val="left" w:pos="0"/>
        <w:tab w:val="left" w:pos="851"/>
      </w:tabs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0"/>
    <w:pPr>
      <w:keepNext/>
      <w:keepLines/>
      <w:numPr>
        <w:ilvl w:val="2"/>
        <w:numId w:val="1"/>
      </w:numPr>
      <w:tabs>
        <w:tab w:val="left" w:pos="1134"/>
      </w:tabs>
      <w:spacing w:before="120" w:after="120" w:line="300" w:lineRule="auto"/>
      <w:outlineLvl w:val="2"/>
    </w:pPr>
    <w:rPr>
      <w:rFonts w:ascii="宋体" w:cs="Arial"/>
      <w:b/>
      <w:bCs/>
      <w:sz w:val="24"/>
      <w:szCs w:val="32"/>
    </w:rPr>
  </w:style>
  <w:style w:type="paragraph" w:styleId="5">
    <w:name w:val="heading 4"/>
    <w:basedOn w:val="1"/>
    <w:next w:val="1"/>
    <w:link w:val="30"/>
    <w:qFormat/>
    <w:uiPriority w:val="0"/>
    <w:pPr>
      <w:keepNext/>
      <w:keepLines/>
      <w:numPr>
        <w:ilvl w:val="3"/>
        <w:numId w:val="1"/>
      </w:numPr>
      <w:outlineLvl w:val="3"/>
    </w:pPr>
    <w:rPr>
      <w:rFonts w:ascii="Cambria" w:hAnsi="Cambria" w:cs="黑体"/>
      <w:b/>
      <w:bCs/>
      <w:szCs w:val="28"/>
    </w:rPr>
  </w:style>
  <w:style w:type="paragraph" w:styleId="6">
    <w:name w:val="heading 5"/>
    <w:basedOn w:val="1"/>
    <w:next w:val="1"/>
    <w:link w:val="31"/>
    <w:qFormat/>
    <w:uiPriority w:val="0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link w:val="32"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link w:val="33"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9">
    <w:name w:val="heading 8"/>
    <w:basedOn w:val="1"/>
    <w:next w:val="1"/>
    <w:link w:val="34"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link w:val="35"/>
    <w:qFormat/>
    <w:uiPriority w:val="0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hAnsi="Arial" w:eastAsia="黑体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qFormat/>
    <w:uiPriority w:val="0"/>
    <w:pPr>
      <w:widowControl w:val="0"/>
    </w:pPr>
    <w:rPr>
      <w:kern w:val="2"/>
      <w:sz w:val="18"/>
      <w:szCs w:val="20"/>
    </w:rPr>
  </w:style>
  <w:style w:type="paragraph" w:styleId="12">
    <w:name w:val="Body Text"/>
    <w:basedOn w:val="1"/>
    <w:next w:val="1"/>
    <w:unhideWhenUsed/>
    <w:qFormat/>
    <w:uiPriority w:val="99"/>
    <w:pPr>
      <w:spacing w:after="120"/>
    </w:pPr>
  </w:style>
  <w:style w:type="paragraph" w:styleId="13">
    <w:name w:val="toc 3"/>
    <w:basedOn w:val="1"/>
    <w:next w:val="1"/>
    <w:qFormat/>
    <w:uiPriority w:val="39"/>
    <w:pPr>
      <w:ind w:left="840" w:leftChars="400"/>
    </w:pPr>
  </w:style>
  <w:style w:type="paragraph" w:styleId="14">
    <w:name w:val="footer"/>
    <w:basedOn w:val="1"/>
    <w:link w:val="4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4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qFormat/>
    <w:uiPriority w:val="39"/>
  </w:style>
  <w:style w:type="paragraph" w:styleId="17">
    <w:name w:val="toc 2"/>
    <w:basedOn w:val="1"/>
    <w:next w:val="1"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9">
    <w:name w:val="Title"/>
    <w:basedOn w:val="1"/>
    <w:next w:val="1"/>
    <w:link w:val="36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21">
    <w:name w:val="Table Grid"/>
    <w:basedOn w:val="2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Strong"/>
    <w:qFormat/>
    <w:uiPriority w:val="99"/>
    <w:rPr>
      <w:rFonts w:cs="Times New Roman"/>
      <w:b/>
      <w:bCs/>
    </w:rPr>
  </w:style>
  <w:style w:type="character" w:styleId="24">
    <w:name w:val="Emphasis"/>
    <w:basedOn w:val="22"/>
    <w:qFormat/>
    <w:uiPriority w:val="0"/>
    <w:rPr>
      <w:i/>
      <w:iCs/>
    </w:rPr>
  </w:style>
  <w:style w:type="character" w:customStyle="1" w:styleId="25">
    <w:name w:val="标题 3 字符"/>
    <w:basedOn w:val="22"/>
    <w:link w:val="4"/>
    <w:qFormat/>
    <w:uiPriority w:val="0"/>
    <w:rPr>
      <w:rFonts w:ascii="宋体" w:cs="Arial"/>
      <w:b/>
      <w:bCs/>
      <w:kern w:val="2"/>
      <w:sz w:val="24"/>
      <w:szCs w:val="32"/>
    </w:rPr>
  </w:style>
  <w:style w:type="character" w:customStyle="1" w:styleId="26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字符"/>
    <w:link w:val="3"/>
    <w:qFormat/>
    <w:uiPriority w:val="0"/>
    <w:rPr>
      <w:rFonts w:ascii="Arial" w:hAnsi="Arial" w:eastAsia="黑体"/>
      <w:b/>
      <w:bCs/>
      <w:sz w:val="32"/>
      <w:szCs w:val="32"/>
    </w:rPr>
  </w:style>
  <w:style w:type="paragraph" w:styleId="28">
    <w:name w:val="List Paragraph"/>
    <w:basedOn w:val="1"/>
    <w:qFormat/>
    <w:uiPriority w:val="34"/>
    <w:pPr>
      <w:ind w:firstLine="420" w:firstLineChars="200"/>
    </w:pPr>
  </w:style>
  <w:style w:type="paragraph" w:customStyle="1" w:styleId="29">
    <w:name w:val="TOC 标题1"/>
    <w:basedOn w:val="2"/>
    <w:next w:val="1"/>
    <w:semiHidden/>
    <w:unhideWhenUsed/>
    <w:qFormat/>
    <w:uiPriority w:val="39"/>
    <w:pPr>
      <w:widowControl/>
      <w:spacing w:before="480" w:after="0" w:line="276" w:lineRule="auto"/>
      <w:ind w:left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30">
    <w:name w:val="标题 4 字符"/>
    <w:basedOn w:val="22"/>
    <w:link w:val="5"/>
    <w:qFormat/>
    <w:uiPriority w:val="0"/>
    <w:rPr>
      <w:rFonts w:ascii="Cambria" w:hAnsi="Cambria" w:cs="黑体"/>
      <w:b/>
      <w:bCs/>
      <w:kern w:val="2"/>
      <w:sz w:val="21"/>
      <w:szCs w:val="28"/>
    </w:rPr>
  </w:style>
  <w:style w:type="character" w:customStyle="1" w:styleId="31">
    <w:name w:val="标题 5 字符"/>
    <w:basedOn w:val="22"/>
    <w:link w:val="6"/>
    <w:qFormat/>
    <w:uiPriority w:val="0"/>
    <w:rPr>
      <w:b/>
      <w:kern w:val="2"/>
      <w:sz w:val="28"/>
      <w:szCs w:val="24"/>
    </w:rPr>
  </w:style>
  <w:style w:type="character" w:customStyle="1" w:styleId="32">
    <w:name w:val="标题 6 字符"/>
    <w:basedOn w:val="22"/>
    <w:link w:val="7"/>
    <w:qFormat/>
    <w:uiPriority w:val="0"/>
    <w:rPr>
      <w:rFonts w:ascii="Arial" w:hAnsi="Arial" w:eastAsia="黑体"/>
      <w:b/>
      <w:kern w:val="2"/>
      <w:sz w:val="24"/>
      <w:szCs w:val="24"/>
    </w:rPr>
  </w:style>
  <w:style w:type="character" w:customStyle="1" w:styleId="33">
    <w:name w:val="标题 7 字符"/>
    <w:basedOn w:val="22"/>
    <w:link w:val="8"/>
    <w:qFormat/>
    <w:uiPriority w:val="0"/>
    <w:rPr>
      <w:b/>
      <w:kern w:val="2"/>
      <w:sz w:val="24"/>
      <w:szCs w:val="24"/>
    </w:rPr>
  </w:style>
  <w:style w:type="character" w:customStyle="1" w:styleId="34">
    <w:name w:val="标题 8 字符"/>
    <w:basedOn w:val="22"/>
    <w:link w:val="9"/>
    <w:qFormat/>
    <w:uiPriority w:val="0"/>
    <w:rPr>
      <w:rFonts w:ascii="Arial" w:hAnsi="Arial" w:eastAsia="黑体"/>
      <w:kern w:val="2"/>
      <w:sz w:val="24"/>
      <w:szCs w:val="24"/>
    </w:rPr>
  </w:style>
  <w:style w:type="character" w:customStyle="1" w:styleId="35">
    <w:name w:val="标题 9 字符"/>
    <w:basedOn w:val="22"/>
    <w:link w:val="10"/>
    <w:qFormat/>
    <w:uiPriority w:val="0"/>
    <w:rPr>
      <w:rFonts w:ascii="Arial" w:hAnsi="Arial" w:eastAsia="黑体"/>
      <w:kern w:val="2"/>
      <w:sz w:val="21"/>
      <w:szCs w:val="24"/>
    </w:rPr>
  </w:style>
  <w:style w:type="character" w:customStyle="1" w:styleId="36">
    <w:name w:val="标题 字符"/>
    <w:basedOn w:val="22"/>
    <w:link w:val="19"/>
    <w:qFormat/>
    <w:uiPriority w:val="0"/>
    <w:rPr>
      <w:rFonts w:ascii="Cambria" w:hAnsi="Cambria"/>
      <w:b/>
      <w:bCs/>
      <w:kern w:val="2"/>
      <w:sz w:val="32"/>
      <w:szCs w:val="32"/>
    </w:rPr>
  </w:style>
  <w:style w:type="paragraph" w:styleId="37">
    <w:name w:val="No Spacing"/>
    <w:qFormat/>
    <w:uiPriority w:val="99"/>
    <w:rPr>
      <w:rFonts w:ascii="Times New Roman" w:hAnsi="Times New Roman" w:eastAsia="宋体" w:cs="Times New Roman"/>
      <w:sz w:val="22"/>
      <w:szCs w:val="22"/>
      <w:lang w:val="en-US" w:eastAsia="en-US" w:bidi="ar-SA"/>
    </w:rPr>
  </w:style>
  <w:style w:type="paragraph" w:customStyle="1" w:styleId="38">
    <w:name w:val="列出段落1"/>
    <w:basedOn w:val="1"/>
    <w:qFormat/>
    <w:uiPriority w:val="0"/>
    <w:pPr>
      <w:ind w:firstLine="420" w:firstLineChars="200"/>
    </w:pPr>
  </w:style>
  <w:style w:type="paragraph" w:customStyle="1" w:styleId="39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40">
    <w:name w:val="页眉 字符"/>
    <w:basedOn w:val="22"/>
    <w:link w:val="15"/>
    <w:qFormat/>
    <w:uiPriority w:val="99"/>
    <w:rPr>
      <w:kern w:val="2"/>
      <w:sz w:val="18"/>
      <w:szCs w:val="18"/>
    </w:rPr>
  </w:style>
  <w:style w:type="character" w:customStyle="1" w:styleId="41">
    <w:name w:val="页脚 字符"/>
    <w:basedOn w:val="22"/>
    <w:link w:val="14"/>
    <w:qFormat/>
    <w:uiPriority w:val="99"/>
    <w:rPr>
      <w:kern w:val="2"/>
      <w:sz w:val="18"/>
      <w:szCs w:val="18"/>
    </w:rPr>
  </w:style>
  <w:style w:type="character" w:customStyle="1" w:styleId="42">
    <w:name w:val="font11"/>
    <w:basedOn w:val="22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296</Words>
  <Characters>1688</Characters>
  <Lines>14</Lines>
  <Paragraphs>3</Paragraphs>
  <TotalTime>2</TotalTime>
  <ScaleCrop>false</ScaleCrop>
  <LinksUpToDate>false</LinksUpToDate>
  <CharactersWithSpaces>1981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2023-08-25T03:28:00Z</dcterms:created>
  <dc:creator>Gao</dc:creator>
  <cp:lastModifiedBy>胡瑞</cp:lastModifiedBy>
  <cp:lastPrinted>2023-10-25T00:53:00Z</cp:lastPrinted>
  <dcterms:modified xsi:type="dcterms:W3CDTF">2024-10-31T00:48:32Z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46e5e1-5d42-4630-bacd-c69bfdcbd5e8_Enabled">
    <vt:lpwstr>true</vt:lpwstr>
  </property>
  <property fmtid="{D5CDD505-2E9C-101B-9397-08002B2CF9AE}" pid="3" name="MSIP_Label_d546e5e1-5d42-4630-bacd-c69bfdcbd5e8_SetDate">
    <vt:lpwstr>2021-09-23T07:37:20Z</vt:lpwstr>
  </property>
  <property fmtid="{D5CDD505-2E9C-101B-9397-08002B2CF9AE}" pid="4" name="MSIP_Label_d546e5e1-5d42-4630-bacd-c69bfdcbd5e8_Method">
    <vt:lpwstr>Standard</vt:lpwstr>
  </property>
  <property fmtid="{D5CDD505-2E9C-101B-9397-08002B2CF9AE}" pid="5" name="MSIP_Label_d546e5e1-5d42-4630-bacd-c69bfdcbd5e8_Name">
    <vt:lpwstr>d546e5e1-5d42-4630-bacd-c69bfdcbd5e8</vt:lpwstr>
  </property>
  <property fmtid="{D5CDD505-2E9C-101B-9397-08002B2CF9AE}" pid="6" name="MSIP_Label_d546e5e1-5d42-4630-bacd-c69bfdcbd5e8_SiteId">
    <vt:lpwstr>96ece526-9c7d-48b0-8daf-8b93c90a5d18</vt:lpwstr>
  </property>
  <property fmtid="{D5CDD505-2E9C-101B-9397-08002B2CF9AE}" pid="7" name="MSIP_Label_d546e5e1-5d42-4630-bacd-c69bfdcbd5e8_ActionId">
    <vt:lpwstr>1d94648b-a428-4cba-a5d5-1e192d883d21</vt:lpwstr>
  </property>
  <property fmtid="{D5CDD505-2E9C-101B-9397-08002B2CF9AE}" pid="8" name="MSIP_Label_d546e5e1-5d42-4630-bacd-c69bfdcbd5e8_ContentBits">
    <vt:lpwstr>0</vt:lpwstr>
  </property>
  <property fmtid="{D5CDD505-2E9C-101B-9397-08002B2CF9AE}" pid="9" name="SmartTag">
    <vt:lpwstr>4</vt:lpwstr>
  </property>
  <property fmtid="{D5CDD505-2E9C-101B-9397-08002B2CF9AE}" pid="10" name="KSOProductBuildVer">
    <vt:lpwstr>2052-11.8.2.11813</vt:lpwstr>
  </property>
  <property fmtid="{D5CDD505-2E9C-101B-9397-08002B2CF9AE}" pid="11" name="ICV">
    <vt:lpwstr>A45C53A1A570414192BF6019143AE1C8</vt:lpwstr>
  </property>
</Properties>
</file>