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房屋外墙瓷砖脱落维修项目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：晋阳院区位于成都市武侯区沙堰西二街290号，天府院区位于成都市双流区岐黄二路1515号，抚琴院区位于成都市金牛区抚琴西路338号。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w:t>
      </w:r>
      <w:r>
        <w:rPr>
          <w:rFonts w:hint="eastAsia" w:ascii="宋体" w:hAnsi="宋体" w:cs="宋体"/>
          <w:b w:val="0"/>
          <w:i w:val="0"/>
          <w:caps w:val="0"/>
          <w:color w:val="auto"/>
          <w:spacing w:val="0"/>
          <w:w w:val="100"/>
          <w:sz w:val="24"/>
          <w:szCs w:val="24"/>
          <w:highlight w:val="none"/>
          <w:lang w:val="en-US" w:eastAsia="zh-CN"/>
        </w:rPr>
        <w:t>缺陷责任期：2年，</w:t>
      </w:r>
      <w:r>
        <w:rPr>
          <w:rFonts w:hint="eastAsia" w:ascii="宋体" w:hAnsi="宋体" w:eastAsia="宋体" w:cs="宋体"/>
          <w:b w:val="0"/>
          <w:i w:val="0"/>
          <w:caps w:val="0"/>
          <w:color w:val="auto"/>
          <w:spacing w:val="0"/>
          <w:w w:val="100"/>
          <w:sz w:val="24"/>
          <w:szCs w:val="24"/>
          <w:highlight w:val="none"/>
          <w:lang w:val="en-US" w:eastAsia="zh-CN"/>
        </w:rPr>
        <w:t>质保期</w:t>
      </w:r>
      <w:r>
        <w:rPr>
          <w:rFonts w:hint="eastAsia" w:ascii="宋体" w:hAnsi="宋体" w:cs="宋体"/>
          <w:b w:val="0"/>
          <w:i w:val="0"/>
          <w:caps w:val="0"/>
          <w:color w:val="auto"/>
          <w:spacing w:val="0"/>
          <w:w w:val="100"/>
          <w:sz w:val="24"/>
          <w:szCs w:val="24"/>
          <w:highlight w:val="none"/>
          <w:lang w:val="en-US" w:eastAsia="zh-CN"/>
        </w:rPr>
        <w:t>2</w:t>
      </w:r>
      <w:r>
        <w:rPr>
          <w:rFonts w:hint="eastAsia" w:ascii="宋体" w:hAnsi="宋体" w:eastAsia="宋体" w:cs="宋体"/>
          <w:b w:val="0"/>
          <w:i w:val="0"/>
          <w:caps w:val="0"/>
          <w:color w:val="auto"/>
          <w:spacing w:val="0"/>
          <w:w w:val="100"/>
          <w:sz w:val="24"/>
          <w:szCs w:val="24"/>
          <w:highlight w:val="none"/>
          <w:lang w:val="en-US" w:eastAsia="zh-CN"/>
        </w:rPr>
        <w:t>年，从项目验收合格之日起计算。</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4.最高限价</w:t>
      </w:r>
      <w:r>
        <w:rPr>
          <w:rFonts w:hint="eastAsia" w:ascii="宋体" w:hAnsi="宋体" w:cs="宋体"/>
          <w:b w:val="0"/>
          <w:i w:val="0"/>
          <w:caps w:val="0"/>
          <w:color w:val="auto"/>
          <w:spacing w:val="0"/>
          <w:w w:val="100"/>
          <w:sz w:val="24"/>
          <w:szCs w:val="24"/>
          <w:highlight w:val="none"/>
          <w:lang w:val="en-US" w:eastAsia="zh-CN"/>
        </w:rPr>
        <w:t>（总价）：180000元。承包方式：总价包干（包工包料，包括但不限于材料提供、运输、成品保护、全部施工内容、安全防护、税金、完工清场及后续相关事项的配合等）</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5.工期</w:t>
      </w:r>
      <w:r>
        <w:rPr>
          <w:rFonts w:hint="eastAsia" w:ascii="宋体" w:hAnsi="宋体" w:cs="宋体"/>
          <w:b w:val="0"/>
          <w:i w:val="0"/>
          <w:caps w:val="0"/>
          <w:color w:val="auto"/>
          <w:spacing w:val="0"/>
          <w:w w:val="100"/>
          <w:sz w:val="24"/>
          <w:szCs w:val="24"/>
          <w:highlight w:val="none"/>
          <w:lang w:val="en-US" w:eastAsia="zh-CN"/>
        </w:rPr>
        <w:t>60</w:t>
      </w:r>
      <w:r>
        <w:rPr>
          <w:rFonts w:hint="eastAsia" w:ascii="宋体" w:hAnsi="宋体" w:eastAsia="宋体" w:cs="宋体"/>
          <w:b w:val="0"/>
          <w:i w:val="0"/>
          <w:caps w:val="0"/>
          <w:color w:val="auto"/>
          <w:spacing w:val="0"/>
          <w:w w:val="100"/>
          <w:sz w:val="24"/>
          <w:szCs w:val="24"/>
          <w:highlight w:val="none"/>
          <w:lang w:val="en-US" w:eastAsia="zh-CN"/>
        </w:rPr>
        <w:t>个日历日，从</w:t>
      </w:r>
      <w:r>
        <w:rPr>
          <w:rFonts w:hint="eastAsia" w:ascii="宋体" w:hAnsi="宋体" w:cs="宋体"/>
          <w:b w:val="0"/>
          <w:i w:val="0"/>
          <w:caps w:val="0"/>
          <w:color w:val="auto"/>
          <w:spacing w:val="0"/>
          <w:w w:val="100"/>
          <w:sz w:val="24"/>
          <w:szCs w:val="24"/>
          <w:highlight w:val="none"/>
          <w:lang w:val="en-US" w:eastAsia="zh-CN"/>
        </w:rPr>
        <w:t>院方通知开工</w:t>
      </w:r>
      <w:r>
        <w:rPr>
          <w:rFonts w:hint="eastAsia" w:ascii="宋体" w:hAnsi="宋体" w:eastAsia="宋体" w:cs="宋体"/>
          <w:b w:val="0"/>
          <w:i w:val="0"/>
          <w:caps w:val="0"/>
          <w:color w:val="auto"/>
          <w:spacing w:val="0"/>
          <w:w w:val="100"/>
          <w:sz w:val="24"/>
          <w:szCs w:val="24"/>
          <w:highlight w:val="none"/>
          <w:lang w:val="en-US" w:eastAsia="zh-CN"/>
        </w:rPr>
        <w:t>之日起计算。</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对抚琴院区、晋阳院区</w:t>
      </w:r>
      <w:r>
        <w:rPr>
          <w:rFonts w:hint="eastAsia" w:ascii="宋体" w:hAnsi="宋体" w:cs="宋体"/>
          <w:color w:val="auto"/>
          <w:sz w:val="24"/>
          <w:szCs w:val="24"/>
          <w:highlight w:val="none"/>
          <w:lang w:val="en-US" w:eastAsia="zh-CN"/>
        </w:rPr>
        <w:t>、天府院区（天府院区于2022年建成）</w:t>
      </w:r>
      <w:r>
        <w:rPr>
          <w:rFonts w:hint="eastAsia" w:ascii="宋体" w:hAnsi="宋体" w:eastAsia="宋体" w:cs="宋体"/>
          <w:color w:val="auto"/>
          <w:sz w:val="24"/>
          <w:szCs w:val="24"/>
          <w:highlight w:val="none"/>
          <w:lang w:val="en-US" w:eastAsia="zh-CN"/>
        </w:rPr>
        <w:t>所有建成房屋外墙</w:t>
      </w:r>
      <w:r>
        <w:rPr>
          <w:rFonts w:hint="eastAsia" w:ascii="宋体" w:hAnsi="宋体" w:cs="宋体"/>
          <w:color w:val="auto"/>
          <w:sz w:val="24"/>
          <w:szCs w:val="24"/>
          <w:highlight w:val="none"/>
          <w:lang w:val="en-US" w:eastAsia="zh-CN"/>
        </w:rPr>
        <w:t>墙砖进行检查、维修、更换；对晋阳院区5号楼外墙、幕墙损坏玻璃进行更换；对抚琴院区、晋阳院区所有建成房屋</w:t>
      </w:r>
      <w:r>
        <w:rPr>
          <w:rFonts w:hint="eastAsia" w:ascii="宋体" w:hAnsi="宋体" w:eastAsia="宋体" w:cs="宋体"/>
          <w:color w:val="auto"/>
          <w:sz w:val="24"/>
          <w:szCs w:val="24"/>
          <w:highlight w:val="none"/>
          <w:lang w:val="en-US" w:eastAsia="zh-CN"/>
        </w:rPr>
        <w:t>空调支架进行检查、维修、加固</w:t>
      </w:r>
      <w:r>
        <w:rPr>
          <w:rFonts w:hint="eastAsia" w:ascii="宋体" w:hAnsi="宋体" w:cs="宋体"/>
          <w:color w:val="auto"/>
          <w:sz w:val="24"/>
          <w:szCs w:val="24"/>
          <w:highlight w:val="none"/>
          <w:lang w:val="en-US" w:eastAsia="zh-CN"/>
        </w:rPr>
        <w:t>；清扫晋阳院区5号楼外墙波浪型处的垃圾</w:t>
      </w:r>
      <w:r>
        <w:rPr>
          <w:rFonts w:hint="eastAsia" w:ascii="宋体" w:hAnsi="宋体" w:eastAsia="宋体" w:cs="宋体"/>
          <w:color w:val="auto"/>
          <w:sz w:val="24"/>
          <w:szCs w:val="24"/>
          <w:highlight w:val="none"/>
          <w:lang w:val="en-US" w:eastAsia="zh-CN"/>
        </w:rPr>
        <w:t>。</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要求：在质保期内，负责所有此次施工项目非人为原因造成的损坏区域的修补及维护。不允许</w:t>
      </w:r>
      <w:r>
        <w:rPr>
          <w:rFonts w:hint="eastAsia" w:ascii="宋体" w:hAnsi="宋体" w:cs="宋体"/>
          <w:color w:val="auto"/>
          <w:sz w:val="24"/>
          <w:szCs w:val="24"/>
          <w:highlight w:val="none"/>
          <w:lang w:val="en-US" w:eastAsia="zh-CN"/>
        </w:rPr>
        <w:t>分包转包。</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缺陷责任期：2年。自工程验收合格并签署质量验收报告之日起算。</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按照现场要求组织施工方案（包括材料运输、建渣外运、夜间施工等），保证本次改造不影响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医疗业务的正常运行。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涉及主要观感因素的、重要影响质量的，需经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签字确定后才能进行施工。</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本项目实施完成后由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完成相应的竣工图纸与竣工资料（包括相关隐藏资料）装订成册，交由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存档。</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改造工程、材料必须符合或优于现行国家（行业）相关标准，以及本项目招标文件的质量要求和技术指标。</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材料质量出现问题的，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应负责三包（包修、包换、包退），费用由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负担，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有权检查质量和工程进度。</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工程质量要求：合格</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验收标准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符合国家现行相关规范及地方、行业相关标准。满足招标图纸、工程量清单、工程量清单编制说明要求。</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改造工程交付期限按照本合同约定工期执行(如由于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的原因造成交付延迟的，时间顺延)。</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组织，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配合进行：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改造完毕后3日内通知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验收。</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验收标准：按国家现行规范及地方、行业相关标准以及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招标文件的质量要求和技术指标、</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的投标文件及承诺与本合同约定标准进行验收；甲乙双方如对质量要求和技术指标的约定标准有相互抵触或异议的事项，由</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在招标与投标文件中按质量要求和技术指标比较优胜的原则确定该项的约定标准进行验收。</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验收时如发现改造工程不合格或其它不符合标准及本合同规定之情形者，</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应做出详细的现场记录由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签字确认，或由甲乙双方签署备忘录，此现场记录或备忘录可用作重新改造、补充、缺失和更换损坏部件的有效证据，由此产生的时间延误与有关费用由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承担，验收期限相应顺延。</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如质量验收合格，双方签署质量验收报告。</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有权监督检查工程进度、工程质量。</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负责提供</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进场材料所需的放置地。</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负责向</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提供施工所需的水、电、气及电讯等设备，说明使用注意事项。</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按照合同约定及时结算和支付工程款项。</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有违反工地现场安全纪律和相关制度时，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现场管理人员有权对其进行处罚，罚金500元/次，其处罚结果书面材料与合同同时有效，并在工程结算时直接扣除罚款。</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所有改建项目视觉范围内的设置均需要经过</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选样，满足可靠、院感、净化、美观及</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使用要求。</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隐蔽工程经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验收合格后进行下一步施工。若未通知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验收或未验收合格并覆盖施工，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有权要求对隐蔽工程进行检查，因此产生所有费用由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承担工期延误的责任。</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进场材料按照</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指定位置堆放并由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自行保管，如发生损坏及被盗事件，损失由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自行承担。</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服从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直接管理，保证工地秩序和施工形象，做到安全文明施工。</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竣工时必须做好成品保护，不得对第三方施工单位产品或半成品、现场设施、绿化等进行损坏。</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未经</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同意，</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擅自拆改原建筑物结构或设备管线，由此发生的损失或事故(包括罚款)，由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负责并承担损失。</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提供全套施工方案和施工进度计划，并确保方案的可行性，并承担由此带来的一切损失。</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对施工现场应进行有效管理,每次施工完毕后对施工现场进行全面清理，做到工完、料清、场地净、消除一切安全隐患。</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在施工中，如涉及到与其他施工方的交叉作业，</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应主动协调并给予配合。</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在施工中应从有利于施工安全角度安排施工计划，施工计划涉及与其他方相衔接的内容，应及时通知各方，并通报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。如未进行协调，</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擅自组织施工，影响整体安全，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将承担由此造成的相应后果及赔偿责任。</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施工期间，必须确保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以及第三人的人身、财产安全。</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提供的施工图纸或施工工艺说明，应符合国家现行相关的法规、规范，因</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为非专业单位，其出具的施工图纸、施工工艺说明不符合规范的，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应在施工前明确告知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，并提出合理修改意见。否则，由此导致的有关部门不批准、不验收或造成安全事故的责任由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在施工期间应严格遵守国家现行相关的法律法规之规定。由于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在施工生产过程中违反有关安全操作规程、消防条例，导致发生安全或火灾事故，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应承担相应</w:t>
      </w:r>
      <w:r>
        <w:rPr>
          <w:rFonts w:hint="eastAsia" w:ascii="宋体" w:hAnsi="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经济损失和法律后果。</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在施工中做到安全施工、文明施工，加强对施工人员进行必要的安全教育学习，提高安全施工意识，确保施工安全。</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施工进场至施工竣工且验收合格期间施工影响范围内的人员安全、消防安全由施工方负责。</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为本项目提供的所有产品、辅材中属于《国家强制性产品认证目录》范围内产品的，均通过国家强制性产品认证并取得认证证书。</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为本项目提供的所有产品、辅材等符合现行的强制性国家相关标准、行业标准。</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有固定的各类施工人员班组，并按成都市最低标准及以上缴纳社保。</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应依法与其指派的管理人员及技术人员建立劳动关系，及时发放工资，缴纳社保等，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施工人员不与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建立任何形式的劳动关系，如发生工伤事故，均由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自行负责处理。</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项目工期以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需求为主，必要时须安排人员加班及夜班，增加人员施工保证进度，确保不影响</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运营，因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原因导致工程延期将按合同进行处罚。如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无法及时组织施工，则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可以另行安排，费用由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须遵守《建设工程安全生产管理条例》、《建筑施工安全技术统一规范》等国家相关安全文明施工规定，合同期内违反次数超过3次，</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有权单方面解除合同。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项目质量需符合《建设工程质量管理条例》、《室内装饰工程质量规范》等相关规范要求，在服务期限内须按审核通过的设计方案及方案说明进行施工，达到或高于国家规范和相关质量合格要求，满足</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的使用需求。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进场施工须按照国家相关作业要求做好各种安全防护工作，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人员进场施工前须进行安全技术交底培训，施工部位做好标志，高空作业等危险作业须做好现场防护。</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自行做好现场工具材料管理工作，确保施工现场通畅。在施工完毕后做好工作面的清场工作，建渣及未用完材料应清理完毕后方可撤场。</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材料要求：本项目改造包工包料，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按要求供应施工材料，所有材料均为符合国家质检部门及生产厂商的质量要求的全新货物。</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安全责任：本项目实施过程中，</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负责对安装人员的安全和治安教育，严格按照国家相关安全操作规程安装，做好安全防范，做到安全文明施工。所有安全责任均由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自行负责。</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工程价款支付方式</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（1）预付款：</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zh-CN"/>
        </w:rPr>
        <w:t>进场施工后，</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zh-CN"/>
        </w:rPr>
        <w:t>提供请款申请，附现场进场照片、预付款对应金额有效的增值税发票（纸质、电子发票），</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eastAsia="zh-CN"/>
        </w:rPr>
        <w:t>在收到完整请款申请资料后30个工作日内支付合同总金额的</w:t>
      </w:r>
      <w:r>
        <w:rPr>
          <w:rFonts w:hint="eastAsia" w:ascii="宋体" w:hAnsi="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0.00%，，因</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zh-CN"/>
        </w:rPr>
        <w:t>原因迟延支付的，</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eastAsia="zh-CN"/>
        </w:rPr>
        <w:t>不承担任何责任。</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（2）验收款：在本项目施工完成，达到验收标准且经甲方验收合格后，乙方提供请款申请，甲方在30个工作日内支付合同总额的</w:t>
      </w:r>
      <w:r>
        <w:rPr>
          <w:rFonts w:hint="eastAsia" w:ascii="宋体" w:hAnsi="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eastAsia="zh-CN"/>
        </w:rPr>
        <w:t>7%，因乙方原因迟延支付的，甲方不承担任何责任。</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（3)尾款：满2年无质量问题，</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zh-CN"/>
        </w:rPr>
        <w:t>提供请款申请后，</w:t>
      </w:r>
      <w:r>
        <w:rPr>
          <w:rFonts w:hint="eastAsia" w:ascii="宋体" w:hAnsi="宋体" w:cs="宋体"/>
          <w:color w:val="auto"/>
          <w:kern w:val="0"/>
          <w:sz w:val="24"/>
          <w:szCs w:val="24"/>
          <w:highlight w:val="none"/>
          <w:lang w:eastAsia="zh-CN"/>
        </w:rPr>
        <w:t>采购人</w:t>
      </w:r>
      <w:r>
        <w:rPr>
          <w:rFonts w:hint="eastAsia" w:ascii="宋体" w:hAnsi="宋体" w:eastAsia="宋体" w:cs="宋体"/>
          <w:color w:val="auto"/>
          <w:kern w:val="0"/>
          <w:sz w:val="24"/>
          <w:szCs w:val="24"/>
          <w:highlight w:val="none"/>
          <w:lang w:eastAsia="zh-CN"/>
        </w:rPr>
        <w:t>在30个工作日内向</w:t>
      </w:r>
      <w:r>
        <w:rPr>
          <w:rFonts w:hint="eastAsia" w:ascii="宋体" w:hAnsi="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lang w:eastAsia="zh-CN"/>
        </w:rPr>
        <w:t>支付尾款。</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所有实施范围内工作内容的防水工程质保期5年，电气管线、给排水管道、设备安装和装修工程质保期2年，若设备、工程另有超过2年质保期规定的，按其规定执行。自工程验收合格并签署质量验收报告之日起算。</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质保期内出现质量问题的，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应在接到通知后4小时内到场，24小时内完成维修或更换，并承担修理更换零配件的费用；如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2次维修仍不能达到本合同约定的质量标准，视作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改造工程不合格，</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重做，</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应当按照合同总价20%向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支付违约金，违约金不足以弥补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损失的，由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予以补足。</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须指派专人负责与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联系质保服务事宜。</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交付的改造工程质量不符合本合同规定的，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支付合同总价的百分之五的违约金，并须在合同规定的交付时间内完成整改后交付给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，由此导致逾期交付的，按本条本款下述第“</w:t>
      </w:r>
      <w:r>
        <w:rPr>
          <w:rFonts w:hint="eastAsia" w:ascii="宋体" w:hAnsi="宋体" w:cs="宋体"/>
          <w:color w:val="auto"/>
          <w:sz w:val="24"/>
          <w:szCs w:val="24"/>
          <w:highlight w:val="none"/>
          <w:lang w:val="en-US" w:eastAsia="zh-CN"/>
        </w:rPr>
        <w:t>49</w:t>
      </w:r>
      <w:r>
        <w:rPr>
          <w:rFonts w:hint="eastAsia" w:ascii="宋体" w:hAnsi="宋体" w:eastAsia="宋体" w:cs="宋体"/>
          <w:color w:val="auto"/>
          <w:sz w:val="24"/>
          <w:szCs w:val="24"/>
          <w:highlight w:val="none"/>
          <w:lang w:eastAsia="zh-CN"/>
        </w:rPr>
        <w:t>”项规定由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偿付违约金给</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逾期未完成改造而违约的，除应及时完成改造外，应向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偿付合同价款总额的5‰/天的违约金；逾期超过30天仍未完成改造，</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有权解除合同，合同因此解除的，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应按合同总价的百分之二十的款额向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偿付违约金，并须全额退还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已经付给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的价款及其同期银行贷款利息。</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偿付的违约金不足以弥补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实际损失的，</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应当予以补足。</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拒不支付违约金、赔偿款的，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有权从应付款中有限扣除。</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合同签署后</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拒绝履行合同或者提前解除合同的，应当按照合同总价20%向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支付违约金，违约金不足以弥补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损失的，由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予以补足。</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如未按照本合同约定履行质保义务的，每违约一次，应向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支付违约金1000.00元。如果</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通知后不积极响应的，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有权另行委托第三人维修，由此产生的费用由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支付，</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可直接在尾款中扣除，不足部分由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补足。</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负责对其所属员工开展包括但不限于思想政治理论、意识形态的教育和培训，与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共同维护四川省妇幼保健院的安全稳定。若因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员工不当言论、行为引起的关于</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的舆情和意识形态领域不良事件，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有权对</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追责。</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应当按照合同总价20%向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支付违约金，违约金不足以弥补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损失的，由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予以补足。如果发生的是警示舆情或意识形态领域严重不良事件，</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有权解除本合同。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本项目禁止转包分包，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存在转包分包行为，</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有权解除本合同。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应当按照合同总价30%向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支付违约金，违约金不足以弥补</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损失的，由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予以补足。</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项目经理短期离开施工场地，应事先征得</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同意，并委派代表代行其职责，项目经理未经批准，擅自离开施工现场的违约责任：每发生一次罚款5000元，发生三次及以上的，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有权终止合同。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擅自更换项目经理或技术负责人的违约责任：罚款5000元/人/次；发生三次及以上的，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有权终止承包合同。</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无正当理由拒绝更换项目经理的违约责任：</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有权终止合同。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每日施工内容计划未提前3天向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报备，施工当日结束前未提供现场拍照、施工进度、第二天的施工计划、安全措施隐患检查记录，未按医院消防管理制度地方国家法律法规规则制度采取保障安全措施防范安全隐患措施的，施工时项目经理不在现场的，没有向医院报备且未取得医院批准（临时用电，临时场地）擅自施工的，未按向医院报备施工计划施工的，不遵守医院规章管理制度的，不服从医院管理的，施工前未主动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提供样品选择的，施工前未主动提供材料合格证及购买材料货单的，每发生一次罚款5000元，发生三次及以上的，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有权终止合同。</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如存在可能影响中标、成交结果、合同履行的失信行为，将按合同总金额的5%扣除失信违约金，如果失信违约金不足以弥补医院损失的，由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向</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足额赔偿经济损失。</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知识产权归属和处理方式：除专用合同条款另有约定外，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完成的设计工作成果和建造完成的建筑物，除署名权以外的著作权以及建筑物形象使用收益等其他知识产权均归发包人享有。</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在进行设计，以及使用任何材料、</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设备、工程设备或采用施工工艺时，因侵犯专利权或其他知识产权所引起的责任，由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在投标文件中采用专利技术的，专利技术的使用费包含在投标报价内。</w:t>
      </w:r>
    </w:p>
    <w:p>
      <w:pPr>
        <w:keepNext w:val="0"/>
        <w:keepLines w:val="0"/>
        <w:pageBreakBefore w:val="0"/>
        <w:numPr>
          <w:ilvl w:val="0"/>
          <w:numId w:val="1"/>
        </w:numPr>
        <w:kinsoku/>
        <w:wordWrap/>
        <w:overflowPunct/>
        <w:topLinePunct w:val="0"/>
        <w:autoSpaceDE/>
        <w:autoSpaceDN/>
        <w:bidi w:val="0"/>
        <w:spacing w:beforeAutospacing="0" w:afterAutospacing="0" w:line="360" w:lineRule="auto"/>
        <w:ind w:left="0" w:leftChars="0"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成本补偿和风险分担约定：成本补偿，因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原因造成工程质量不符合法律的规定和合同约定的，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有权要求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返工直至符合合同要求为止，由此造成的费用增加和(或)工期延误由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承担。因</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设计失误，使用不合格材料、工程设备，或采用不适当的施工工艺，或施不当，造成工程不合格的，</w:t>
      </w:r>
      <w:r>
        <w:rPr>
          <w:rFonts w:hint="eastAsia" w:ascii="宋体" w:hAnsi="宋体" w:cs="宋体"/>
          <w:color w:val="auto"/>
          <w:sz w:val="24"/>
          <w:szCs w:val="24"/>
          <w:highlight w:val="none"/>
          <w:lang w:eastAsia="zh-CN"/>
        </w:rPr>
        <w:t>采购人</w:t>
      </w:r>
      <w:r>
        <w:rPr>
          <w:rFonts w:hint="eastAsia" w:ascii="宋体" w:hAnsi="宋体" w:eastAsia="宋体" w:cs="宋体"/>
          <w:color w:val="auto"/>
          <w:sz w:val="24"/>
          <w:szCs w:val="24"/>
          <w:highlight w:val="none"/>
          <w:lang w:eastAsia="zh-CN"/>
        </w:rPr>
        <w:t>可以随时发出指示，要求</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立即采取措施进行补救，直至达到合同要求的质量标准，由此增加的费用和(或)工期延误由</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承担。风险分担，除合同另有约定外，</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应视为已取得工程有关风险、意外事件和其他情况的全部必要资料，并预见工程所有困难和费用。</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lang w:eastAsia="zh-CN"/>
        </w:rPr>
        <w:t>遇到不可预见的困难和费用时，合同价格不予调整。</w:t>
      </w: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cs="宋体"/>
          <w:color w:val="auto"/>
          <w:kern w:val="0"/>
          <w:sz w:val="24"/>
          <w:szCs w:val="24"/>
          <w:highlight w:val="none"/>
          <w:lang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不正当竞争预防措施</w:t>
      </w:r>
      <w:r>
        <w:rPr>
          <w:rFonts w:hint="eastAsia" w:ascii="宋体" w:hAnsi="宋体" w:eastAsia="宋体" w:cs="宋体"/>
          <w:color w:val="auto"/>
          <w:kern w:val="0"/>
          <w:sz w:val="24"/>
          <w:szCs w:val="24"/>
          <w:highlight w:val="none"/>
          <w:lang w:eastAsia="zh-CN"/>
        </w:rPr>
        <w:t>：磋商小组认为供应商的报价明显低于其他实质性响应的供应商报价，有可能影响工程质量或者不能诚信履约的，应当要求其在合理的时间内提供书面说明，必要时提交相关证明材料；供应商不能证明其报价合理性的，磋商小组应当将其作为无效响应处理。</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0"/>
        <w:tblpPr w:leftFromText="180" w:rightFromText="180" w:vertAnchor="text" w:horzAnchor="page" w:tblpX="1638" w:tblpY="4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4"/>
        <w:gridCol w:w="430"/>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trPr>
        <w:tc>
          <w:tcPr>
            <w:tcW w:w="1697"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926"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r>
              <w:rPr>
                <w:rFonts w:hint="eastAsia" w:ascii="宋体" w:hAnsi="宋体" w:cs="宋体"/>
                <w:i w:val="0"/>
                <w:color w:val="000000"/>
                <w:kern w:val="0"/>
                <w:sz w:val="24"/>
                <w:szCs w:val="24"/>
                <w:u w:val="none"/>
                <w:lang w:val="en-US" w:eastAsia="zh-CN" w:bidi="ar"/>
              </w:rPr>
              <w:t>40</w:t>
            </w:r>
            <w:r>
              <w:rPr>
                <w:rFonts w:hint="eastAsia" w:ascii="宋体" w:hAnsi="宋体" w:eastAsia="宋体" w:cs="宋体"/>
                <w:i w:val="0"/>
                <w:color w:val="000000"/>
                <w:kern w:val="0"/>
                <w:sz w:val="24"/>
                <w:szCs w:val="24"/>
                <w:u w:val="none"/>
                <w:lang w:val="en-US" w:eastAsia="zh-CN" w:bidi="ar"/>
              </w:rPr>
              <w:t>.00分，报价得分</w:t>
            </w:r>
            <w:r>
              <w:rPr>
                <w:rFonts w:hint="eastAsia" w:ascii="宋体" w:hAnsi="宋体" w:cs="宋体"/>
                <w:i w:val="0"/>
                <w:color w:val="000000"/>
                <w:kern w:val="0"/>
                <w:sz w:val="24"/>
                <w:szCs w:val="24"/>
                <w:u w:val="none"/>
                <w:lang w:val="en-US" w:eastAsia="zh-CN" w:bidi="ar"/>
              </w:rPr>
              <w:t>60</w:t>
            </w:r>
            <w:r>
              <w:rPr>
                <w:rFonts w:hint="eastAsia" w:ascii="宋体" w:hAnsi="宋体" w:eastAsia="宋体" w:cs="宋体"/>
                <w:i w:val="0"/>
                <w:color w:val="000000"/>
                <w:kern w:val="0"/>
                <w:sz w:val="24"/>
                <w:szCs w:val="24"/>
                <w:u w:val="none"/>
                <w:lang w:val="en-US" w:eastAsia="zh-CN" w:bidi="ar"/>
              </w:rPr>
              <w:t>.00分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96"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42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1.供应商提供自202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w:t>
            </w: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分，满分</w:t>
            </w:r>
            <w:r>
              <w:rPr>
                <w:rFonts w:hint="eastAsia" w:ascii="宋体" w:hAnsi="宋体" w:cs="宋体"/>
                <w:i w:val="0"/>
                <w:color w:val="000000"/>
                <w:kern w:val="0"/>
                <w:sz w:val="24"/>
                <w:szCs w:val="24"/>
                <w:u w:val="none"/>
                <w:lang w:val="en-US" w:eastAsia="zh-CN" w:bidi="ar"/>
              </w:rPr>
              <w:t>8</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2.供应商拟派本项目的项目经理自202</w:t>
            </w:r>
            <w:r>
              <w:rPr>
                <w:rFonts w:hint="eastAsia" w:ascii="宋体" w:hAnsi="宋体" w:cs="宋体"/>
                <w:i w:val="0"/>
                <w:color w:val="000000"/>
                <w:kern w:val="0"/>
                <w:sz w:val="24"/>
                <w:szCs w:val="24"/>
                <w:u w:val="none"/>
                <w:lang w:val="en-US" w:eastAsia="zh-CN" w:bidi="ar"/>
              </w:rPr>
              <w:t>1</w:t>
            </w:r>
            <w:r>
              <w:rPr>
                <w:rFonts w:hint="eastAsia" w:ascii="宋体" w:hAnsi="宋体" w:eastAsia="宋体" w:cs="宋体"/>
                <w:i w:val="0"/>
                <w:color w:val="000000"/>
                <w:kern w:val="0"/>
                <w:sz w:val="24"/>
                <w:szCs w:val="24"/>
                <w:u w:val="none"/>
                <w:lang w:val="en-US" w:eastAsia="zh-CN" w:bidi="ar"/>
              </w:rPr>
              <w:t>年1月1日起至响应文件递交截止日的已完成类似项目业绩的，每提供一个得1分，满分</w:t>
            </w:r>
            <w:r>
              <w:rPr>
                <w:rFonts w:hint="eastAsia" w:ascii="宋体" w:hAnsi="宋体" w:cs="宋体"/>
                <w:i w:val="0"/>
                <w:color w:val="000000"/>
                <w:kern w:val="0"/>
                <w:sz w:val="24"/>
                <w:szCs w:val="24"/>
                <w:u w:val="none"/>
                <w:lang w:val="en-US" w:eastAsia="zh-CN" w:bidi="ar"/>
              </w:rPr>
              <w:t>3</w:t>
            </w:r>
            <w:r>
              <w:rPr>
                <w:rFonts w:hint="eastAsia" w:ascii="宋体" w:hAnsi="宋体" w:eastAsia="宋体" w:cs="宋体"/>
                <w:i w:val="0"/>
                <w:color w:val="000000"/>
                <w:kern w:val="0"/>
                <w:sz w:val="24"/>
                <w:szCs w:val="24"/>
                <w:u w:val="none"/>
                <w:lang w:val="en-US" w:eastAsia="zh-CN" w:bidi="ar"/>
              </w:rPr>
              <w:t>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说明：①类似业绩是指：已完</w:t>
            </w:r>
            <w:r>
              <w:rPr>
                <w:rFonts w:hint="eastAsia" w:ascii="宋体" w:hAnsi="宋体" w:cs="宋体"/>
                <w:i w:val="0"/>
                <w:color w:val="000000"/>
                <w:kern w:val="0"/>
                <w:sz w:val="24"/>
                <w:szCs w:val="24"/>
                <w:u w:val="none"/>
                <w:lang w:val="en-US" w:eastAsia="zh-CN" w:bidi="ar"/>
              </w:rPr>
              <w:t>成</w:t>
            </w:r>
            <w:r>
              <w:rPr>
                <w:rFonts w:hint="eastAsia" w:ascii="宋体" w:hAnsi="宋体" w:eastAsia="宋体" w:cs="宋体"/>
                <w:i w:val="0"/>
                <w:color w:val="000000"/>
                <w:kern w:val="0"/>
                <w:sz w:val="24"/>
                <w:szCs w:val="24"/>
                <w:u w:val="none"/>
                <w:lang w:val="en-US" w:eastAsia="zh-CN" w:bidi="ar"/>
              </w:rPr>
              <w:t>的</w:t>
            </w:r>
            <w:r>
              <w:rPr>
                <w:rFonts w:hint="eastAsia" w:ascii="宋体" w:hAnsi="宋体" w:cs="宋体"/>
                <w:i w:val="0"/>
                <w:color w:val="000000"/>
                <w:kern w:val="0"/>
                <w:sz w:val="24"/>
                <w:szCs w:val="24"/>
                <w:highlight w:val="none"/>
                <w:u w:val="none"/>
                <w:lang w:val="en-US" w:eastAsia="zh-CN" w:bidi="ar"/>
              </w:rPr>
              <w:t>房屋外墙幕墙</w:t>
            </w:r>
            <w:r>
              <w:rPr>
                <w:rFonts w:hint="eastAsia" w:ascii="宋体" w:hAnsi="宋体" w:eastAsia="宋体" w:cs="宋体"/>
                <w:i w:val="0"/>
                <w:color w:val="000000"/>
                <w:kern w:val="0"/>
                <w:sz w:val="24"/>
                <w:szCs w:val="24"/>
                <w:u w:val="none"/>
                <w:lang w:val="en-US" w:eastAsia="zh-CN" w:bidi="ar"/>
              </w:rPr>
              <w:t>项目（已完成的类似业绩时间以</w:t>
            </w:r>
            <w:r>
              <w:rPr>
                <w:rFonts w:hint="eastAsia" w:ascii="宋体" w:hAnsi="宋体" w:cs="宋体"/>
                <w:i w:val="0"/>
                <w:color w:val="000000"/>
                <w:kern w:val="0"/>
                <w:sz w:val="24"/>
                <w:szCs w:val="24"/>
                <w:u w:val="none"/>
                <w:lang w:val="en-US" w:eastAsia="zh-CN" w:bidi="ar"/>
              </w:rPr>
              <w:t>结算</w:t>
            </w:r>
            <w:r>
              <w:rPr>
                <w:rFonts w:hint="eastAsia" w:ascii="宋体" w:hAnsi="宋体" w:eastAsia="宋体" w:cs="宋体"/>
                <w:i w:val="0"/>
                <w:color w:val="000000"/>
                <w:kern w:val="0"/>
                <w:sz w:val="24"/>
                <w:szCs w:val="24"/>
                <w:u w:val="none"/>
                <w:lang w:val="en-US" w:eastAsia="zh-CN" w:bidi="ar"/>
              </w:rPr>
              <w:t>时间为准）；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②类似业绩须提供中标（成交）通知书或合同（协议）、</w:t>
            </w:r>
            <w:r>
              <w:rPr>
                <w:rFonts w:hint="eastAsia" w:ascii="宋体" w:hAnsi="宋体" w:cs="宋体"/>
                <w:i w:val="0"/>
                <w:color w:val="000000"/>
                <w:kern w:val="0"/>
                <w:sz w:val="24"/>
                <w:szCs w:val="24"/>
                <w:u w:val="none"/>
                <w:lang w:val="en-US" w:eastAsia="zh-CN" w:bidi="ar"/>
              </w:rPr>
              <w:t>验收</w:t>
            </w:r>
            <w:r>
              <w:rPr>
                <w:rFonts w:hint="eastAsia" w:ascii="宋体" w:hAnsi="宋体" w:eastAsia="宋体" w:cs="宋体"/>
                <w:i w:val="0"/>
                <w:color w:val="000000"/>
                <w:kern w:val="0"/>
                <w:sz w:val="24"/>
                <w:szCs w:val="24"/>
                <w:u w:val="none"/>
                <w:lang w:val="en-US" w:eastAsia="zh-CN" w:bidi="ar"/>
              </w:rPr>
              <w:t>结算</w:t>
            </w:r>
            <w:r>
              <w:rPr>
                <w:rFonts w:hint="eastAsia" w:ascii="宋体" w:hAnsi="宋体" w:cs="宋体"/>
                <w:i w:val="0"/>
                <w:color w:val="000000"/>
                <w:kern w:val="0"/>
                <w:sz w:val="24"/>
                <w:szCs w:val="24"/>
                <w:u w:val="none"/>
                <w:lang w:val="en-US" w:eastAsia="zh-CN" w:bidi="ar"/>
              </w:rPr>
              <w:t>文件</w:t>
            </w:r>
            <w:r>
              <w:rPr>
                <w:rFonts w:hint="eastAsia" w:ascii="宋体" w:hAnsi="宋体" w:eastAsia="宋体" w:cs="宋体"/>
                <w:i w:val="0"/>
                <w:color w:val="000000"/>
                <w:kern w:val="0"/>
                <w:sz w:val="24"/>
                <w:szCs w:val="24"/>
                <w:u w:val="none"/>
                <w:lang w:val="en-US" w:eastAsia="zh-CN" w:bidi="ar"/>
              </w:rPr>
              <w:t>（复印件加盖单位公章），不提供的不得分。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11</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8"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实施方案组织</w:t>
            </w:r>
            <w:r>
              <w:rPr>
                <w:rFonts w:hint="eastAsia" w:ascii="宋体" w:hAnsi="宋体" w:eastAsia="宋体" w:cs="宋体"/>
                <w:i w:val="0"/>
                <w:color w:val="000000"/>
                <w:kern w:val="0"/>
                <w:sz w:val="24"/>
                <w:szCs w:val="24"/>
                <w:u w:val="none"/>
                <w:lang w:val="en-US" w:eastAsia="zh-CN" w:bidi="ar"/>
              </w:rPr>
              <w:t>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cs="宋体"/>
                <w:i w:val="0"/>
                <w:color w:val="000000"/>
                <w:sz w:val="24"/>
                <w:szCs w:val="24"/>
                <w:u w:val="none"/>
                <w:lang w:val="en-US" w:eastAsia="zh-CN"/>
              </w:rPr>
              <w:t>供应商提供的实施组织设计方案包含1.进度计划、实施方案（实施方案包含但不限于现场踏勘照片，施工地点现状概况,不影响医院运营的具体施工计划，施工计划内容包括时间、改造区域、改造内容、使用器械），2.详细工序安排、实施重难点分析，3.质量保证措施，4.安全保证措施，5.资源配置计划，6.环保文明措施，7.应急预案，8.实施工艺保障，9.人员配置计划，10.主要物资和实施机械设备、主要实施机械计划;内容完全响应磋商文件的得20分，每缺少一项内容或有一项内容错误(内容错误指:项目名称、实施地点、涉及的规范、标准与本项目要求不致:进度计划超期的)，每缺少一项内容扣2分，每有一处错误扣1分，扣完为止。</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cs="宋体"/>
                <w:i w:val="0"/>
                <w:color w:val="000000"/>
                <w:kern w:val="0"/>
                <w:sz w:val="24"/>
                <w:szCs w:val="24"/>
                <w:u w:val="none"/>
                <w:lang w:val="en-US" w:eastAsia="zh-CN" w:bidi="ar"/>
              </w:rPr>
              <w:t>2</w:t>
            </w:r>
            <w:r>
              <w:rPr>
                <w:rFonts w:hint="eastAsia" w:ascii="宋体" w:hAnsi="宋体" w:eastAsia="宋体" w:cs="宋体"/>
                <w:i w:val="0"/>
                <w:color w:val="000000"/>
                <w:kern w:val="0"/>
                <w:sz w:val="24"/>
                <w:szCs w:val="24"/>
                <w:u w:val="none"/>
                <w:lang w:val="en-US" w:eastAsia="zh-CN" w:bidi="ar"/>
              </w:rPr>
              <w:t>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17"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级及以上职称得1分，拟投入本项目的技术负责人具有建筑工程相关专业</w:t>
            </w:r>
            <w:r>
              <w:rPr>
                <w:rFonts w:hint="eastAsia" w:ascii="宋体" w:hAnsi="宋体" w:cs="宋体"/>
                <w:i w:val="0"/>
                <w:color w:val="000000"/>
                <w:kern w:val="0"/>
                <w:sz w:val="24"/>
                <w:szCs w:val="24"/>
                <w:u w:val="none"/>
                <w:lang w:val="en-US" w:eastAsia="zh-CN" w:bidi="ar"/>
              </w:rPr>
              <w:t>中</w:t>
            </w:r>
            <w:r>
              <w:rPr>
                <w:rFonts w:hint="eastAsia" w:ascii="宋体" w:hAnsi="宋体" w:eastAsia="宋体" w:cs="宋体"/>
                <w:i w:val="0"/>
                <w:color w:val="000000"/>
                <w:kern w:val="0"/>
                <w:sz w:val="24"/>
                <w:szCs w:val="24"/>
                <w:u w:val="none"/>
                <w:lang w:val="en-US" w:eastAsia="zh-CN" w:bidi="ar"/>
              </w:rPr>
              <w:t>级及以上职称得1分，本项最多得2分。提供证书复印件加盖供应商公章。 2.拟投入本项目其他人至少应包括：安全员、施工员、材料员、质检员（质量员）、资料员、标准员、劳务员，以上人员配备齐全得6分，每缺一个人员种类扣1分，扣完为止，未提供不得分，本项最多得6分。提供证书复印件加盖供应商公章。 3.拟投入本项目的造价人员每提供1名注册造价工程师得1分，最多得1分。提供有效的注册证书复印件加盖供应商公章。 注：以上人员不重复计分。</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9</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trPr>
        <w:tc>
          <w:tcPr>
            <w:tcW w:w="517"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424"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default" w:ascii="宋体" w:hAnsi="宋体" w:eastAsia="宋体" w:cs="宋体"/>
                <w:i w:val="0"/>
                <w:color w:val="000000"/>
                <w:sz w:val="24"/>
                <w:szCs w:val="24"/>
                <w:u w:val="none"/>
                <w:lang w:val="en-US"/>
              </w:rPr>
            </w:pPr>
            <w:r>
              <w:rPr>
                <w:rFonts w:hint="eastAsia" w:ascii="宋体" w:hAnsi="宋体" w:cs="宋体"/>
                <w:i w:val="0"/>
                <w:color w:val="000000"/>
                <w:kern w:val="0"/>
                <w:sz w:val="24"/>
                <w:szCs w:val="24"/>
                <w:u w:val="none"/>
                <w:lang w:val="en-US" w:eastAsia="zh-CN" w:bidi="ar"/>
              </w:rPr>
              <w:t>经评审委员会评审，通过资格性和符合性审查的投标人响应价格最低的响应报价为磋商基准价，其价格分为满分。其他供应商的价格分统一按照下列公式计算：磋商报价得分=(磋商基准价／最后磋商报价)*60</w:t>
            </w:r>
          </w:p>
        </w:tc>
        <w:tc>
          <w:tcPr>
            <w:tcW w:w="4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cs="宋体"/>
                <w:i w:val="0"/>
                <w:color w:val="000000"/>
                <w:sz w:val="24"/>
                <w:szCs w:val="24"/>
                <w:u w:val="none"/>
                <w:lang w:val="en-US" w:eastAsia="zh-CN"/>
              </w:rPr>
              <w:t>60</w:t>
            </w:r>
          </w:p>
        </w:tc>
        <w:tc>
          <w:tcPr>
            <w:tcW w:w="10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bookmarkStart w:id="0" w:name="_GoBack"/>
      <w:bookmarkEnd w:id="0"/>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价格</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万</w:t>
            </w:r>
            <w:r>
              <w:rPr>
                <w:rFonts w:hint="eastAsia" w:ascii="宋体" w:hAnsi="宋体" w:eastAsia="宋体" w:cs="宋体"/>
                <w:color w:val="auto"/>
                <w:kern w:val="0"/>
                <w:sz w:val="24"/>
                <w:szCs w:val="24"/>
                <w:highlight w:val="none"/>
                <w:lang w:eastAsia="zh-CN"/>
              </w:rPr>
              <w:t>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除总价外，须提供分项综合单价报价。</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16"/>
        <w:snapToGrid w:val="0"/>
        <w:spacing w:beforeLines="100" w:afterLines="100" w:line="24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良好的商业信誉和健全的财务会计制度的承诺函</w:t>
      </w:r>
    </w:p>
    <w:p>
      <w:pPr>
        <w:snapToGrid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afterLines="50"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p>
    <w:p>
      <w:pPr>
        <w:pStyle w:val="16"/>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四川省妇幼保健院：</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）的磋商活动，现郑重承诺：</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snapToGrid w:val="0"/>
        <w:spacing w:line="360" w:lineRule="auto"/>
        <w:ind w:firstLine="480" w:firstLineChars="200"/>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2"/>
        <w:rPr>
          <w:rFonts w:hint="eastAsia" w:ascii="宋体" w:hAnsi="宋体" w:eastAsia="宋体" w:cs="宋体"/>
          <w:color w:val="auto"/>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用户情况表</w:t>
      </w:r>
    </w:p>
    <w:tbl>
      <w:tblPr>
        <w:tblStyle w:val="1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tc>
      </w:tr>
    </w:tbl>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【说明】</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1．表中产品为近三年销售；</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2．只填写本次投标产品型号或与本次投标产品相当的型号。</w:t>
      </w:r>
    </w:p>
    <w:p>
      <w:pPr>
        <w:pStyle w:val="9"/>
        <w:rPr>
          <w:rFonts w:hint="eastAsia" w:ascii="宋体" w:hAnsi="宋体" w:eastAsia="宋体" w:cs="宋体"/>
          <w:color w:val="auto"/>
          <w:sz w:val="24"/>
          <w:szCs w:val="24"/>
        </w:rPr>
      </w:pPr>
      <w:r>
        <w:rPr>
          <w:rFonts w:hint="eastAsia" w:ascii="宋体" w:hAnsi="宋体" w:eastAsia="宋体" w:cs="宋体"/>
          <w:color w:val="auto"/>
          <w:sz w:val="24"/>
          <w:szCs w:val="24"/>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u w:val="single"/>
        </w:rPr>
        <w:t xml:space="preserve">  （投标人全称）  </w:t>
      </w:r>
      <w:r>
        <w:rPr>
          <w:rFonts w:hint="eastAsia" w:ascii="宋体" w:hAnsi="宋体" w:eastAsia="宋体" w:cs="宋体"/>
          <w:color w:val="auto"/>
          <w:sz w:val="24"/>
          <w:szCs w:val="24"/>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rPr>
        <w:t>法定代表人或授权代表：</w:t>
      </w:r>
      <w:r>
        <w:rPr>
          <w:rFonts w:hint="eastAsia" w:ascii="宋体" w:hAnsi="宋体" w:eastAsia="宋体" w:cs="宋体"/>
          <w:color w:val="auto"/>
          <w:sz w:val="24"/>
          <w:szCs w:val="24"/>
          <w:u w:val="single"/>
        </w:rPr>
        <w:t xml:space="preserve">    （签</w:t>
      </w:r>
      <w:r>
        <w:rPr>
          <w:rFonts w:hint="eastAsia" w:ascii="宋体" w:hAnsi="宋体" w:eastAsia="宋体" w:cs="宋体"/>
          <w:color w:val="auto"/>
          <w:sz w:val="24"/>
          <w:szCs w:val="24"/>
          <w:u w:val="single"/>
          <w:lang w:val="en-US" w:eastAsia="zh-CN"/>
        </w:rPr>
        <w:t>字</w:t>
      </w:r>
      <w:r>
        <w:rPr>
          <w:rFonts w:hint="eastAsia" w:ascii="宋体" w:hAnsi="宋体" w:eastAsia="宋体" w:cs="宋体"/>
          <w:color w:val="auto"/>
          <w:sz w:val="24"/>
          <w:szCs w:val="24"/>
          <w:u w:val="single"/>
        </w:rPr>
        <w:t xml:space="preserve">或盖章）   </w:t>
      </w:r>
    </w:p>
    <w:p>
      <w:pPr>
        <w:pStyle w:val="2"/>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snapToGrid w:val="0"/>
        <w:spacing w:line="360" w:lineRule="auto"/>
        <w:textAlignment w:val="baseline"/>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sz w:val="24"/>
          <w:szCs w:val="24"/>
        </w:rPr>
      </w:pPr>
    </w:p>
    <w:p>
      <w:pPr>
        <w:pStyle w:val="7"/>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8"/>
        <w:rPr>
          <w:rFonts w:hint="eastAsia" w:ascii="宋体" w:hAnsi="宋体" w:eastAsia="宋体" w:cs="宋体"/>
          <w:sz w:val="24"/>
          <w:szCs w:val="24"/>
        </w:rPr>
      </w:pPr>
    </w:p>
    <w:p>
      <w:pPr>
        <w:rPr>
          <w:rFonts w:hint="eastAsia" w:ascii="宋体" w:hAnsi="宋体" w:eastAsia="宋体" w:cs="宋体"/>
          <w:sz w:val="24"/>
          <w:szCs w:val="24"/>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r>
        <w:rPr>
          <w:rFonts w:hint="eastAsia" w:ascii="宋体" w:hAnsi="宋体" w:eastAsia="宋体" w:cs="宋体"/>
          <w:bCs/>
          <w:color w:val="auto"/>
          <w:sz w:val="24"/>
          <w:szCs w:val="24"/>
          <w:highlight w:val="none"/>
          <w:lang w:val="en-US" w:eastAsia="zh-CN"/>
        </w:rPr>
        <w:t>及其它承诺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8"/>
        <w:rPr>
          <w:rFonts w:hint="eastAsia" w:ascii="宋体" w:hAnsi="宋体" w:eastAsia="宋体" w:cs="宋体"/>
          <w:sz w:val="24"/>
          <w:szCs w:val="24"/>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rFonts w:hint="eastAsia" w:ascii="宋体" w:hAnsi="宋体" w:eastAsia="宋体" w:cs="宋体"/>
          <w:sz w:val="24"/>
          <w:szCs w:val="24"/>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abstractNum w:abstractNumId="2">
    <w:nsid w:val="574E5EEC"/>
    <w:multiLevelType w:val="singleLevel"/>
    <w:tmpl w:val="574E5EEC"/>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A65586C"/>
    <w:rsid w:val="004D428B"/>
    <w:rsid w:val="00530248"/>
    <w:rsid w:val="00EC6772"/>
    <w:rsid w:val="016A6AE0"/>
    <w:rsid w:val="03747B68"/>
    <w:rsid w:val="03EE3E1C"/>
    <w:rsid w:val="04361529"/>
    <w:rsid w:val="056F4E5A"/>
    <w:rsid w:val="05726AA5"/>
    <w:rsid w:val="061919A0"/>
    <w:rsid w:val="072C4411"/>
    <w:rsid w:val="078C226D"/>
    <w:rsid w:val="08D81DAB"/>
    <w:rsid w:val="0A11789F"/>
    <w:rsid w:val="0B197A17"/>
    <w:rsid w:val="0EBC1E28"/>
    <w:rsid w:val="0F082170"/>
    <w:rsid w:val="0F4A7FCB"/>
    <w:rsid w:val="109A6B8D"/>
    <w:rsid w:val="11103502"/>
    <w:rsid w:val="1198193E"/>
    <w:rsid w:val="146051E2"/>
    <w:rsid w:val="148C1006"/>
    <w:rsid w:val="162D3759"/>
    <w:rsid w:val="163A2906"/>
    <w:rsid w:val="171D619A"/>
    <w:rsid w:val="17F25FAE"/>
    <w:rsid w:val="18091F2F"/>
    <w:rsid w:val="181D0BEA"/>
    <w:rsid w:val="18796F37"/>
    <w:rsid w:val="1905205C"/>
    <w:rsid w:val="1A842879"/>
    <w:rsid w:val="1BD63F5B"/>
    <w:rsid w:val="1C9D1D9B"/>
    <w:rsid w:val="1D690EFE"/>
    <w:rsid w:val="1DCE37AE"/>
    <w:rsid w:val="1DE57C5B"/>
    <w:rsid w:val="1E2F78A2"/>
    <w:rsid w:val="1E622B84"/>
    <w:rsid w:val="1F0B1039"/>
    <w:rsid w:val="2563609C"/>
    <w:rsid w:val="26D63C5F"/>
    <w:rsid w:val="27901575"/>
    <w:rsid w:val="2940376A"/>
    <w:rsid w:val="295C66BA"/>
    <w:rsid w:val="29DE4557"/>
    <w:rsid w:val="2A3828DE"/>
    <w:rsid w:val="2A65586C"/>
    <w:rsid w:val="2AEE25DB"/>
    <w:rsid w:val="2B5C1C1D"/>
    <w:rsid w:val="2B710DDE"/>
    <w:rsid w:val="2CBF2949"/>
    <w:rsid w:val="2D55788D"/>
    <w:rsid w:val="2D8965E5"/>
    <w:rsid w:val="2DA74C73"/>
    <w:rsid w:val="2FE567A3"/>
    <w:rsid w:val="31000CDA"/>
    <w:rsid w:val="31485207"/>
    <w:rsid w:val="3372491C"/>
    <w:rsid w:val="34490EE3"/>
    <w:rsid w:val="34643239"/>
    <w:rsid w:val="368F40C8"/>
    <w:rsid w:val="369E2376"/>
    <w:rsid w:val="36AF399B"/>
    <w:rsid w:val="36B601B2"/>
    <w:rsid w:val="36B859C4"/>
    <w:rsid w:val="36C00EBF"/>
    <w:rsid w:val="36F4557B"/>
    <w:rsid w:val="37035FE3"/>
    <w:rsid w:val="373B055B"/>
    <w:rsid w:val="3890108E"/>
    <w:rsid w:val="38B34EBF"/>
    <w:rsid w:val="3B4378EC"/>
    <w:rsid w:val="3BAD0CBC"/>
    <w:rsid w:val="3BAE175A"/>
    <w:rsid w:val="3C9D2F7C"/>
    <w:rsid w:val="3D847710"/>
    <w:rsid w:val="3DDF2C08"/>
    <w:rsid w:val="3E5E1BD4"/>
    <w:rsid w:val="3EA9722A"/>
    <w:rsid w:val="3F044EF7"/>
    <w:rsid w:val="3FF75DE2"/>
    <w:rsid w:val="3FFB4770"/>
    <w:rsid w:val="40F8653F"/>
    <w:rsid w:val="419873E4"/>
    <w:rsid w:val="420A7AE5"/>
    <w:rsid w:val="42CE3299"/>
    <w:rsid w:val="43040088"/>
    <w:rsid w:val="43EE72FE"/>
    <w:rsid w:val="4452697A"/>
    <w:rsid w:val="44BA08BF"/>
    <w:rsid w:val="45D62547"/>
    <w:rsid w:val="46FB7578"/>
    <w:rsid w:val="470F38B8"/>
    <w:rsid w:val="491A4480"/>
    <w:rsid w:val="49F70372"/>
    <w:rsid w:val="4A4F61A4"/>
    <w:rsid w:val="4AAB0FC8"/>
    <w:rsid w:val="4B4B2546"/>
    <w:rsid w:val="4C934133"/>
    <w:rsid w:val="4CD41336"/>
    <w:rsid w:val="4D86415E"/>
    <w:rsid w:val="4E4B49F8"/>
    <w:rsid w:val="503443FA"/>
    <w:rsid w:val="50EA5896"/>
    <w:rsid w:val="518405B6"/>
    <w:rsid w:val="52312596"/>
    <w:rsid w:val="52F63862"/>
    <w:rsid w:val="53E449EE"/>
    <w:rsid w:val="541E0BAC"/>
    <w:rsid w:val="544F1849"/>
    <w:rsid w:val="5452340D"/>
    <w:rsid w:val="54F05E32"/>
    <w:rsid w:val="550649B3"/>
    <w:rsid w:val="55352E6D"/>
    <w:rsid w:val="555A09BA"/>
    <w:rsid w:val="55957278"/>
    <w:rsid w:val="55B64D2D"/>
    <w:rsid w:val="55CD4E65"/>
    <w:rsid w:val="5798389F"/>
    <w:rsid w:val="58274BF1"/>
    <w:rsid w:val="59740105"/>
    <w:rsid w:val="59AE3ED6"/>
    <w:rsid w:val="5A216F1D"/>
    <w:rsid w:val="5AF42002"/>
    <w:rsid w:val="5C594349"/>
    <w:rsid w:val="5DC272DB"/>
    <w:rsid w:val="5DD93610"/>
    <w:rsid w:val="5F6B3399"/>
    <w:rsid w:val="5F924B57"/>
    <w:rsid w:val="5FC63DCE"/>
    <w:rsid w:val="60930255"/>
    <w:rsid w:val="61784771"/>
    <w:rsid w:val="61BB763D"/>
    <w:rsid w:val="61C00CAA"/>
    <w:rsid w:val="61CC124C"/>
    <w:rsid w:val="63214A37"/>
    <w:rsid w:val="6350680B"/>
    <w:rsid w:val="649E5E7F"/>
    <w:rsid w:val="654F0093"/>
    <w:rsid w:val="65657068"/>
    <w:rsid w:val="65EC5A6C"/>
    <w:rsid w:val="66122A83"/>
    <w:rsid w:val="667826A9"/>
    <w:rsid w:val="66886984"/>
    <w:rsid w:val="668A79B2"/>
    <w:rsid w:val="66A7602D"/>
    <w:rsid w:val="66EC498C"/>
    <w:rsid w:val="689F2589"/>
    <w:rsid w:val="68A75EE4"/>
    <w:rsid w:val="6BF96AD5"/>
    <w:rsid w:val="6C79128C"/>
    <w:rsid w:val="6C982483"/>
    <w:rsid w:val="6CB45421"/>
    <w:rsid w:val="6CBB6274"/>
    <w:rsid w:val="6D6E4066"/>
    <w:rsid w:val="6E4B22E8"/>
    <w:rsid w:val="6EA83C25"/>
    <w:rsid w:val="6EAF1746"/>
    <w:rsid w:val="707D0312"/>
    <w:rsid w:val="7117451F"/>
    <w:rsid w:val="71604E7A"/>
    <w:rsid w:val="71F031EF"/>
    <w:rsid w:val="73D25E88"/>
    <w:rsid w:val="754C15D8"/>
    <w:rsid w:val="758B11E8"/>
    <w:rsid w:val="76C44381"/>
    <w:rsid w:val="787F0C2B"/>
    <w:rsid w:val="78985615"/>
    <w:rsid w:val="78B65D38"/>
    <w:rsid w:val="798C55EE"/>
    <w:rsid w:val="7A124E54"/>
    <w:rsid w:val="7A2D347F"/>
    <w:rsid w:val="7AF22B2E"/>
    <w:rsid w:val="7B8D3711"/>
    <w:rsid w:val="7B9C35E7"/>
    <w:rsid w:val="7BFE5B3E"/>
    <w:rsid w:val="7CBA4C47"/>
    <w:rsid w:val="7D4D6829"/>
    <w:rsid w:val="7D651BD3"/>
    <w:rsid w:val="7D9F55F7"/>
    <w:rsid w:val="7E43760C"/>
    <w:rsid w:val="7E8426BD"/>
    <w:rsid w:val="7F373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Body Text"/>
    <w:basedOn w:val="1"/>
    <w:next w:val="5"/>
    <w:qFormat/>
    <w:uiPriority w:val="0"/>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toc 1"/>
    <w:basedOn w:val="1"/>
    <w:next w:val="1"/>
    <w:qFormat/>
    <w:uiPriority w:val="0"/>
    <w:pPr>
      <w:spacing w:line="180" w:lineRule="auto"/>
      <w:jc w:val="center"/>
    </w:pPr>
    <w:rPr>
      <w:sz w:val="30"/>
    </w:rPr>
  </w:style>
  <w:style w:type="paragraph" w:styleId="9">
    <w:name w:val="footnote text"/>
    <w:basedOn w:val="1"/>
    <w:qFormat/>
    <w:uiPriority w:val="99"/>
    <w:pPr>
      <w:snapToGrid w:val="0"/>
      <w:jc w:val="left"/>
    </w:pPr>
    <w:rPr>
      <w:rFonts w:ascii="宋体" w:hAnsi="Times New Roman" w:eastAsia="宋体" w:cs="Times New Roman"/>
      <w:kern w:val="0"/>
      <w:sz w:val="18"/>
      <w:szCs w:val="18"/>
    </w:rPr>
  </w:style>
  <w:style w:type="paragraph" w:customStyle="1" w:styleId="12">
    <w:name w:val="List Paragraph"/>
    <w:basedOn w:val="1"/>
    <w:qFormat/>
    <w:uiPriority w:val="0"/>
    <w:pPr>
      <w:ind w:firstLine="420" w:firstLineChars="200"/>
    </w:pPr>
    <w:rPr>
      <w:rFonts w:ascii="等线" w:hAnsi="等线" w:eastAsia="等线" w:cs="Times New Roman"/>
    </w:rPr>
  </w:style>
  <w:style w:type="paragraph" w:customStyle="1" w:styleId="13">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14">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15">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GW-正文"/>
    <w:basedOn w:val="1"/>
    <w:qFormat/>
    <w:uiPriority w:val="0"/>
    <w:pPr>
      <w:spacing w:line="360" w:lineRule="auto"/>
      <w:ind w:firstLine="200" w:firstLineChars="200"/>
    </w:pPr>
    <w:rPr>
      <w:rFonts w:eastAsia="仿宋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2023-09-14T07:24:00Z</dcterms:created>
  <dc:creator>罗珊珊</dc:creator>
  <cp:lastModifiedBy>hasee</cp:lastModifiedBy>
  <dcterms:modified xsi:type="dcterms:W3CDTF">2024-11-05T07:56:15Z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C0C5E32E6BEE44ADB136F500DBDF49BC_12</vt:lpwstr>
  </property>
</Properties>
</file>