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spacing w:line="360" w:lineRule="exact"/>
        <w:jc w:val="left"/>
        <w:rPr>
          <w:b/>
          <w:bCs/>
        </w:rPr>
      </w:pPr>
      <w:r>
        <w:rPr>
          <w:rFonts w:hint="eastAsia"/>
          <w:b/>
          <w:bCs/>
        </w:rPr>
        <w:t>一、采购标的：</w:t>
      </w:r>
    </w:p>
    <w:p>
      <w:pPr>
        <w:spacing w:line="360" w:lineRule="exact"/>
        <w:jc w:val="left"/>
        <w:rPr>
          <w:rFonts w:hint="eastAsia" w:ascii="宋体" w:hAnsi="宋体" w:eastAsia="宋体" w:cs="宋体"/>
        </w:rPr>
      </w:pPr>
      <w:r>
        <w:rPr>
          <w:rFonts w:hint="eastAsia" w:ascii="宋体" w:hAnsi="宋体" w:eastAsia="宋体" w:cs="宋体"/>
        </w:rPr>
        <w:t>备注：超过最高限价的报价，视为无效投标</w:t>
      </w:r>
    </w:p>
    <w:p>
      <w:pPr>
        <w:widowControl/>
        <w:tabs>
          <w:tab w:val="left" w:pos="284"/>
        </w:tabs>
        <w:topLinePunct/>
        <w:adjustRightInd w:val="0"/>
        <w:snapToGrid w:val="0"/>
        <w:spacing w:line="460" w:lineRule="exact"/>
        <w:ind w:left="-36" w:leftChars="-67" w:right="-57" w:rightChars="-27" w:hanging="105" w:hangingChars="44"/>
        <w:rPr>
          <w:rFonts w:ascii="宋体" w:hAnsi="宋体" w:eastAsia="宋体" w:cs="Segoe UI"/>
          <w:color w:val="auto"/>
          <w:kern w:val="0"/>
          <w:sz w:val="24"/>
          <w:szCs w:val="24"/>
        </w:rPr>
      </w:pPr>
      <w:r>
        <w:rPr>
          <w:rFonts w:hint="eastAsia" w:ascii="宋体" w:hAnsi="宋体" w:eastAsia="宋体" w:cs="Segoe UI"/>
          <w:color w:val="auto"/>
          <w:kern w:val="0"/>
          <w:sz w:val="24"/>
          <w:szCs w:val="24"/>
          <w:lang w:val="en-US" w:eastAsia="zh-CN"/>
        </w:rPr>
        <w:t>1</w:t>
      </w:r>
      <w:r>
        <w:rPr>
          <w:rFonts w:hint="eastAsia" w:ascii="宋体" w:hAnsi="宋体" w:eastAsia="宋体" w:cs="Segoe UI"/>
          <w:color w:val="auto"/>
          <w:kern w:val="0"/>
          <w:sz w:val="24"/>
          <w:szCs w:val="24"/>
        </w:rPr>
        <w:t>、最高限价：30000元。</w:t>
      </w:r>
    </w:p>
    <w:p>
      <w:pPr>
        <w:widowControl/>
        <w:tabs>
          <w:tab w:val="left" w:pos="284"/>
        </w:tabs>
        <w:topLinePunct/>
        <w:adjustRightInd w:val="0"/>
        <w:snapToGrid w:val="0"/>
        <w:spacing w:line="460" w:lineRule="exact"/>
        <w:ind w:left="-36" w:leftChars="-67" w:right="-57" w:rightChars="-27" w:hanging="105" w:hangingChars="44"/>
        <w:rPr>
          <w:rFonts w:hint="eastAsia" w:ascii="宋体" w:hAnsi="宋体" w:eastAsia="宋体" w:cs="Segoe UI"/>
          <w:color w:val="auto"/>
          <w:kern w:val="0"/>
          <w:sz w:val="24"/>
          <w:szCs w:val="24"/>
        </w:rPr>
      </w:pPr>
      <w:r>
        <w:rPr>
          <w:rFonts w:hint="eastAsia" w:ascii="宋体" w:hAnsi="宋体" w:eastAsia="宋体" w:cs="Segoe UI"/>
          <w:color w:val="auto"/>
          <w:kern w:val="0"/>
          <w:sz w:val="24"/>
          <w:szCs w:val="24"/>
          <w:lang w:val="en-US" w:eastAsia="zh-CN"/>
        </w:rPr>
        <w:t>2</w:t>
      </w:r>
      <w:r>
        <w:rPr>
          <w:rFonts w:hint="eastAsia" w:ascii="宋体" w:hAnsi="宋体" w:eastAsia="宋体" w:cs="Segoe UI"/>
          <w:color w:val="auto"/>
          <w:kern w:val="0"/>
          <w:sz w:val="24"/>
          <w:szCs w:val="24"/>
        </w:rPr>
        <w:t>、服务期限：1年。</w:t>
      </w:r>
    </w:p>
    <w:p>
      <w:pPr>
        <w:widowControl/>
        <w:tabs>
          <w:tab w:val="left" w:pos="284"/>
        </w:tabs>
        <w:topLinePunct/>
        <w:adjustRightInd w:val="0"/>
        <w:snapToGrid w:val="0"/>
        <w:spacing w:line="460" w:lineRule="exact"/>
        <w:ind w:left="-36" w:leftChars="-67" w:right="-57" w:rightChars="-27" w:hanging="105" w:hangingChars="44"/>
        <w:rPr>
          <w:rFonts w:hint="eastAsia" w:eastAsia="宋体"/>
          <w:color w:val="auto"/>
          <w:lang w:eastAsia="zh-CN"/>
        </w:rPr>
      </w:pPr>
      <w:r>
        <w:rPr>
          <w:rFonts w:hint="eastAsia" w:ascii="宋体" w:hAnsi="宋体" w:eastAsia="宋体" w:cs="Segoe UI"/>
          <w:color w:val="auto"/>
          <w:kern w:val="0"/>
          <w:sz w:val="24"/>
          <w:szCs w:val="24"/>
          <w:lang w:val="en-US" w:eastAsia="zh-CN"/>
        </w:rPr>
        <w:t>3</w:t>
      </w:r>
      <w:r>
        <w:rPr>
          <w:rFonts w:hint="eastAsia" w:ascii="宋体" w:hAnsi="宋体" w:eastAsia="宋体" w:cs="Segoe UI"/>
          <w:color w:val="auto"/>
          <w:kern w:val="0"/>
          <w:sz w:val="24"/>
          <w:szCs w:val="24"/>
        </w:rPr>
        <w:t>、设备清单及年度检测频次</w:t>
      </w:r>
      <w:r>
        <w:rPr>
          <w:rFonts w:hint="eastAsia" w:ascii="宋体" w:hAnsi="宋体" w:eastAsia="宋体" w:cs="Segoe UI"/>
          <w:color w:val="auto"/>
          <w:kern w:val="0"/>
          <w:sz w:val="24"/>
          <w:szCs w:val="24"/>
          <w:lang w:eastAsia="zh-CN"/>
        </w:rPr>
        <w:t>：</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819"/>
        <w:gridCol w:w="99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序号</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设备名称</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数量</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年度检测次数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16排螺旋CT</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2</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数字化平板乳腺DR</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3</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平板数字化多功能透视摄像系统</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4</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移动式数字摄影X线系统</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5</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直接数字化摄片系统</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6</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医用血管造影X射线机</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7</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X射线计算机体层摄影设备（128排CT）</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8</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X射线计算机断层摄影设备（40排CT）</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9</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数字乳腺X射线机</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10</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数字X射线透视摄影系统</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11</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移动式X射线机</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12</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移动式平板C形臂X射线机</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13</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双能骨密度仪</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14</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数字化双能X射线骨密度仪</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15</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口腔数字化层摄影及全景X光机</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16</w:t>
            </w:r>
          </w:p>
        </w:tc>
        <w:tc>
          <w:tcPr>
            <w:tcW w:w="4819"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牙片机及CR</w:t>
            </w:r>
          </w:p>
        </w:tc>
        <w:tc>
          <w:tcPr>
            <w:tcW w:w="993"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1</w:t>
            </w:r>
          </w:p>
        </w:tc>
        <w:tc>
          <w:tcPr>
            <w:tcW w:w="1701" w:type="dxa"/>
            <w:vAlign w:val="center"/>
          </w:tcPr>
          <w:p>
            <w:pPr>
              <w:spacing w:line="460" w:lineRule="exact"/>
              <w:jc w:val="center"/>
              <w:rPr>
                <w:rFonts w:cs="Times New Roman" w:asciiTheme="minorEastAsia" w:hAnsiTheme="minorEastAsia" w:eastAsiaTheme="minorEastAsia"/>
                <w:color w:val="000000"/>
                <w:kern w:val="0"/>
                <w:sz w:val="24"/>
                <w:szCs w:val="24"/>
              </w:rPr>
            </w:pPr>
            <w:r>
              <w:rPr>
                <w:rFonts w:hint="eastAsia" w:cs="Times New Roman" w:asciiTheme="minorEastAsia" w:hAnsiTheme="minorEastAsia" w:eastAsiaTheme="minorEastAsia"/>
                <w:color w:val="000000"/>
                <w:kern w:val="0"/>
                <w:sz w:val="24"/>
                <w:szCs w:val="24"/>
              </w:rPr>
              <w:t>4</w:t>
            </w:r>
          </w:p>
        </w:tc>
      </w:tr>
    </w:tbl>
    <w:p>
      <w:pPr>
        <w:pStyle w:val="14"/>
        <w:numPr>
          <w:ilvl w:val="0"/>
          <w:numId w:val="0"/>
        </w:numPr>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4、根据《放射诊疗管理规定》、《职业病防治法》要求，对全院放射设备定期进行稳定性检测并出具检测报告。在出具正式检测报告前，根据检测到的不合格情况及时向采购人通报，并提出相应整改措施，整改后再次检测不再重复收费。</w:t>
      </w:r>
    </w:p>
    <w:p>
      <w:pPr>
        <w:pStyle w:val="14"/>
        <w:numPr>
          <w:ilvl w:val="0"/>
          <w:numId w:val="0"/>
        </w:numPr>
        <w:ind w:leftChars="0"/>
        <w:jc w:val="both"/>
        <w:rPr>
          <w:rFonts w:hint="eastAsia" w:ascii="宋体" w:hAnsi="宋体" w:eastAsia="宋体" w:cs="宋体"/>
          <w:b w:val="0"/>
          <w:bCs w:val="0"/>
          <w:lang w:val="en-US" w:eastAsia="zh-CN"/>
        </w:rPr>
      </w:pPr>
      <w:r>
        <w:rPr>
          <w:rFonts w:hint="eastAsia" w:ascii="宋体" w:hAnsi="宋体" w:eastAsia="宋体" w:cs="宋体"/>
          <w:b w:val="0"/>
          <w:bCs w:val="0"/>
          <w:lang w:val="en-US" w:eastAsia="zh-CN"/>
        </w:rPr>
        <w:t>5、付款方式和条件：采购人分3次向投标人支付检测服务费用。第1次，合同签订生效后60日内采购人支付合同金额的50%；第2次，投标人完成全年检测服务后60日内支付合同金额的50%。</w:t>
      </w:r>
    </w:p>
    <w:p>
      <w:pPr>
        <w:pStyle w:val="3"/>
        <w:rPr>
          <w:rFonts w:hint="eastAsia"/>
          <w:lang w:val="en-US" w:eastAsia="zh-CN"/>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075"/>
        <w:gridCol w:w="873"/>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79" w:type="pct"/>
            <w:vAlign w:val="center"/>
          </w:tcPr>
          <w:p>
            <w:pPr>
              <w:widowControl/>
              <w:jc w:val="center"/>
              <w:rPr>
                <w:rFonts w:ascii="宋体" w:hAnsi="宋体" w:cs="宋体"/>
              </w:rPr>
            </w:pPr>
            <w:r>
              <w:rPr>
                <w:rFonts w:hint="eastAsia" w:ascii="宋体" w:hAnsi="宋体" w:cs="宋体"/>
              </w:rPr>
              <w:t>序号</w:t>
            </w:r>
          </w:p>
        </w:tc>
        <w:tc>
          <w:tcPr>
            <w:tcW w:w="631" w:type="pct"/>
            <w:vAlign w:val="center"/>
          </w:tcPr>
          <w:p>
            <w:pPr>
              <w:widowControl/>
              <w:jc w:val="center"/>
              <w:rPr>
                <w:rFonts w:ascii="宋体" w:hAnsi="宋体" w:cs="宋体"/>
              </w:rPr>
            </w:pPr>
            <w:r>
              <w:rPr>
                <w:rFonts w:hint="eastAsia" w:ascii="宋体" w:hAnsi="宋体" w:cs="宋体"/>
              </w:rPr>
              <w:t>评分因素</w:t>
            </w:r>
          </w:p>
        </w:tc>
        <w:tc>
          <w:tcPr>
            <w:tcW w:w="512" w:type="pct"/>
            <w:vAlign w:val="center"/>
          </w:tcPr>
          <w:p>
            <w:pPr>
              <w:widowControl/>
              <w:jc w:val="center"/>
              <w:rPr>
                <w:rFonts w:ascii="宋体" w:hAnsi="宋体" w:cs="宋体"/>
              </w:rPr>
            </w:pPr>
            <w:r>
              <w:rPr>
                <w:rFonts w:hint="eastAsia" w:ascii="宋体" w:hAnsi="宋体" w:cs="宋体"/>
              </w:rPr>
              <w:t>分值</w:t>
            </w:r>
          </w:p>
        </w:tc>
        <w:tc>
          <w:tcPr>
            <w:tcW w:w="3378" w:type="pct"/>
            <w:vAlign w:val="center"/>
          </w:tcPr>
          <w:p>
            <w:pPr>
              <w:widowControl/>
              <w:jc w:val="center"/>
              <w:rPr>
                <w:rFonts w:ascii="宋体" w:hAnsi="宋体" w:cs="宋体"/>
              </w:rPr>
            </w:pPr>
            <w:r>
              <w:rPr>
                <w:rFonts w:hint="eastAsia" w:ascii="宋体" w:hAnsi="宋体" w:cs="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79"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631"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12"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3378" w:type="pct"/>
            <w:vAlign w:val="center"/>
          </w:tcPr>
          <w:p>
            <w:pPr>
              <w:spacing w:line="360" w:lineRule="exact"/>
              <w:jc w:val="left"/>
              <w:rPr>
                <w:rFonts w:ascii="宋体" w:hAnsi="宋体" w:cs="Segoe UI"/>
                <w:kern w:val="0"/>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79"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631"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服务方案</w:t>
            </w:r>
          </w:p>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512"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30</w:t>
            </w:r>
          </w:p>
        </w:tc>
        <w:tc>
          <w:tcPr>
            <w:tcW w:w="3378" w:type="pct"/>
            <w:vAlign w:val="center"/>
          </w:tcPr>
          <w:p>
            <w:pPr>
              <w:widowControl/>
              <w:spacing w:line="360" w:lineRule="exact"/>
              <w:jc w:val="left"/>
              <w:rPr>
                <w:rFonts w:ascii="宋体" w:hAnsi="宋体" w:cs="Segoe UI"/>
                <w:kern w:val="0"/>
              </w:rPr>
            </w:pPr>
            <w:r>
              <w:rPr>
                <w:rFonts w:hint="eastAsia" w:ascii="宋体" w:hAnsi="宋体" w:cs="宋体"/>
              </w:rPr>
              <w:t>根据投标人针对本项目提供的服务方案进行评审，其中：（1）服务方案合理且完全符合实际、针对性强、完全可行，得30分；（2）服务方案较合理且基本符合实际、针对性较强、基本可行，得20分；（3）服务方案不够合理且不符合实际、无针对性、可行性差，得10分；（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9"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631"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业绩</w:t>
            </w:r>
          </w:p>
          <w:p>
            <w:pPr>
              <w:widowControl/>
              <w:spacing w:line="360" w:lineRule="exact"/>
              <w:jc w:val="center"/>
              <w:rPr>
                <w:rFonts w:ascii="宋体" w:hAnsi="宋体" w:cs="Segoe UI"/>
                <w:color w:val="000000"/>
                <w:kern w:val="0"/>
              </w:rPr>
            </w:pPr>
            <w:r>
              <w:rPr>
                <w:rFonts w:hint="eastAsia" w:ascii="宋体" w:hAnsi="宋体" w:cs="Segoe UI"/>
                <w:color w:val="000000"/>
                <w:kern w:val="0"/>
              </w:rPr>
              <w:t>5%</w:t>
            </w:r>
          </w:p>
        </w:tc>
        <w:tc>
          <w:tcPr>
            <w:tcW w:w="512" w:type="pct"/>
            <w:vAlign w:val="center"/>
          </w:tcPr>
          <w:p>
            <w:pPr>
              <w:widowControl/>
              <w:spacing w:line="360" w:lineRule="exact"/>
              <w:jc w:val="center"/>
              <w:rPr>
                <w:rFonts w:ascii="宋体" w:hAnsi="宋体" w:cs="宋体"/>
              </w:rPr>
            </w:pPr>
            <w:r>
              <w:rPr>
                <w:rFonts w:hint="eastAsia" w:ascii="宋体" w:hAnsi="宋体" w:cs="宋体"/>
              </w:rPr>
              <w:t>5</w:t>
            </w:r>
          </w:p>
        </w:tc>
        <w:tc>
          <w:tcPr>
            <w:tcW w:w="3378" w:type="pct"/>
            <w:vAlign w:val="center"/>
          </w:tcPr>
          <w:p>
            <w:pPr>
              <w:widowControl/>
              <w:spacing w:line="360" w:lineRule="exact"/>
              <w:jc w:val="left"/>
              <w:rPr>
                <w:rFonts w:ascii="宋体" w:hAnsi="宋体" w:cs="宋体"/>
              </w:rPr>
            </w:pPr>
            <w:r>
              <w:rPr>
                <w:rFonts w:hint="eastAsia" w:ascii="宋体" w:hAnsi="宋体" w:cs="宋体"/>
              </w:rPr>
              <w:t>提供20</w:t>
            </w:r>
            <w:r>
              <w:rPr>
                <w:rFonts w:hint="eastAsia" w:ascii="宋体" w:hAnsi="宋体" w:cs="宋体"/>
                <w:lang w:val="en-US" w:eastAsia="zh-CN"/>
              </w:rPr>
              <w:t>21</w:t>
            </w:r>
            <w:r>
              <w:rPr>
                <w:rFonts w:hint="eastAsia" w:ascii="宋体" w:hAnsi="宋体" w:cs="宋体"/>
              </w:rPr>
              <w:t>年1月1日以来省内三甲医疗机构业绩证明，每提供1个业绩得1</w:t>
            </w:r>
            <w:bookmarkStart w:id="1" w:name="_GoBack"/>
            <w:bookmarkEnd w:id="1"/>
            <w:r>
              <w:rPr>
                <w:rFonts w:hint="eastAsia" w:ascii="宋体" w:hAnsi="宋体" w:cs="宋体"/>
              </w:rPr>
              <w:t>分，最多得5分。</w:t>
            </w:r>
          </w:p>
          <w:p>
            <w:pPr>
              <w:spacing w:line="360" w:lineRule="exact"/>
              <w:jc w:val="left"/>
              <w:rPr>
                <w:rFonts w:ascii="宋体" w:hAnsi="宋体" w:cs="Segoe UI"/>
                <w:color w:val="000000"/>
                <w:kern w:val="0"/>
              </w:rPr>
            </w:pPr>
            <w:r>
              <w:rPr>
                <w:rFonts w:hint="eastAsia" w:ascii="宋体" w:hAnsi="宋体" w:cs="宋体"/>
              </w:rPr>
              <w:t>注：提供采购合同或中标通知书或发票复印件，并加盖投标人公章。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9"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4</w:t>
            </w:r>
          </w:p>
        </w:tc>
        <w:tc>
          <w:tcPr>
            <w:tcW w:w="631"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人员配置20%</w:t>
            </w:r>
          </w:p>
        </w:tc>
        <w:tc>
          <w:tcPr>
            <w:tcW w:w="512"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20</w:t>
            </w:r>
          </w:p>
        </w:tc>
        <w:tc>
          <w:tcPr>
            <w:tcW w:w="3378" w:type="pct"/>
            <w:vAlign w:val="center"/>
          </w:tcPr>
          <w:p>
            <w:pPr>
              <w:widowControl/>
              <w:spacing w:line="360" w:lineRule="exact"/>
              <w:jc w:val="left"/>
              <w:rPr>
                <w:rFonts w:ascii="宋体" w:hAnsi="宋体" w:cs="宋体"/>
              </w:rPr>
            </w:pPr>
            <w:r>
              <w:rPr>
                <w:rFonts w:hint="eastAsia" w:ascii="宋体" w:hAnsi="宋体" w:cs="宋体"/>
              </w:rPr>
              <w:t>（1）投标人有10名及以上具有放射卫生检测与评价技术培训合格证书的专业技术人员得10分；（2）投标人有6名及以上具有放射卫生检测与评价技术培训合格证书的专业技术人员得6分；（3）投标人有4名及以上具有放射卫生检测与评价技术培训合格证书的专业技术人员得4分；（4）投标人少于4名具有放射卫生检测与评价技术培训合格证书的专业技术人员不得分；（5）投标人有1名四川省放射卫生技术专家库专家得5分，2名得10分，最高得10分。</w:t>
            </w:r>
          </w:p>
          <w:p>
            <w:pPr>
              <w:spacing w:line="360" w:lineRule="exact"/>
              <w:jc w:val="left"/>
              <w:rPr>
                <w:rFonts w:ascii="宋体" w:hAnsi="宋体" w:cs="宋体"/>
              </w:rPr>
            </w:pPr>
            <w:r>
              <w:rPr>
                <w:rFonts w:hint="eastAsia" w:ascii="宋体" w:hAnsi="宋体"/>
                <w:szCs w:val="21"/>
              </w:rPr>
              <w:t>注：提供证书复印件及</w:t>
            </w:r>
            <w:r>
              <w:rPr>
                <w:rFonts w:hint="eastAsia"/>
                <w:szCs w:val="21"/>
              </w:rPr>
              <w:t>投标人连续三个月为专业技术人员缴纳社保</w:t>
            </w:r>
            <w:r>
              <w:rPr>
                <w:rFonts w:hint="eastAsia" w:ascii="宋体" w:hAnsi="宋体"/>
                <w:szCs w:val="21"/>
              </w:rPr>
              <w:t>等在职证明材料，并加盖投标人公章。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79" w:type="pct"/>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5</w:t>
            </w:r>
          </w:p>
        </w:tc>
        <w:tc>
          <w:tcPr>
            <w:tcW w:w="631" w:type="pct"/>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管理体系认证</w:t>
            </w:r>
          </w:p>
          <w:p>
            <w:pPr>
              <w:widowControl/>
              <w:spacing w:line="360" w:lineRule="exact"/>
              <w:jc w:val="center"/>
              <w:rPr>
                <w:rFonts w:ascii="宋体" w:hAnsi="宋体" w:cs="Segoe UI"/>
                <w:color w:val="000000"/>
                <w:kern w:val="0"/>
              </w:rPr>
            </w:pPr>
            <w:r>
              <w:rPr>
                <w:rFonts w:hint="eastAsia" w:ascii="宋体" w:hAnsi="宋体" w:cs="Segoe UI"/>
                <w:color w:val="000000"/>
                <w:kern w:val="0"/>
              </w:rPr>
              <w:t>15%</w:t>
            </w:r>
          </w:p>
        </w:tc>
        <w:tc>
          <w:tcPr>
            <w:tcW w:w="512" w:type="pct"/>
            <w:vAlign w:val="center"/>
          </w:tcPr>
          <w:p>
            <w:pPr>
              <w:spacing w:line="360" w:lineRule="exact"/>
              <w:ind w:left="-105" w:right="-107"/>
              <w:jc w:val="center"/>
              <w:rPr>
                <w:rFonts w:ascii="宋体" w:hAnsi="宋体" w:cs="Segoe UI"/>
                <w:color w:val="333333"/>
                <w:kern w:val="0"/>
              </w:rPr>
            </w:pPr>
            <w:r>
              <w:rPr>
                <w:rFonts w:hint="eastAsia" w:ascii="宋体" w:hAnsi="宋体" w:cs="Segoe UI"/>
                <w:color w:val="333333"/>
                <w:kern w:val="0"/>
              </w:rPr>
              <w:t>15</w:t>
            </w:r>
          </w:p>
        </w:tc>
        <w:tc>
          <w:tcPr>
            <w:tcW w:w="3378" w:type="pct"/>
            <w:vAlign w:val="center"/>
          </w:tcPr>
          <w:p>
            <w:pPr>
              <w:widowControl/>
              <w:spacing w:line="360" w:lineRule="exact"/>
              <w:jc w:val="left"/>
              <w:rPr>
                <w:rFonts w:ascii="宋体" w:hAnsi="宋体" w:cs="宋体"/>
              </w:rPr>
            </w:pPr>
            <w:r>
              <w:rPr>
                <w:rFonts w:hint="eastAsia" w:ascii="宋体" w:hAnsi="宋体" w:cs="宋体"/>
              </w:rPr>
              <w:t>（1）投标人具有有效的职业健康安全管理体系认证得5分；（2）投标人具有有效的环境管理体系认证得5分；（3）投标人具有有效的质量管理体系认证得5分。</w:t>
            </w:r>
          </w:p>
          <w:p>
            <w:pPr>
              <w:widowControl/>
              <w:spacing w:line="360" w:lineRule="exact"/>
              <w:jc w:val="left"/>
              <w:rPr>
                <w:rFonts w:ascii="宋体" w:hAnsi="宋体" w:cs="Segoe UI"/>
                <w:color w:val="000000"/>
                <w:kern w:val="0"/>
              </w:rPr>
            </w:pPr>
            <w:r>
              <w:rPr>
                <w:rFonts w:hint="eastAsia" w:ascii="宋体" w:hAnsi="宋体" w:cs="宋体"/>
              </w:rPr>
              <w:t>注：提供的相关认证复印件或扫描件，并加盖投标人公章。</w:t>
            </w:r>
          </w:p>
        </w:tc>
      </w:tr>
    </w:tbl>
    <w:p>
      <w:pPr>
        <w:widowControl/>
        <w:jc w:val="left"/>
        <w:rPr>
          <w:rFonts w:ascii="宋体" w:hAnsi="宋体" w:eastAsia="宋体" w:cs="Segoe UI"/>
          <w:b/>
          <w:bCs/>
          <w:color w:val="333333"/>
          <w:kern w:val="0"/>
          <w:sz w:val="28"/>
          <w:szCs w:val="28"/>
        </w:rPr>
      </w:pPr>
    </w:p>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pStyle w:val="2"/>
        <w:rPr>
          <w:rFonts w:hint="eastAsia" w:ascii="仿宋_GB2312" w:hAnsi="Segoe UI" w:eastAsia="仿宋_GB2312" w:cs="Segoe UI"/>
          <w:b/>
          <w:bCs/>
          <w:color w:val="333333"/>
          <w:kern w:val="0"/>
          <w:sz w:val="28"/>
          <w:szCs w:val="28"/>
        </w:rPr>
      </w:pPr>
    </w:p>
    <w:p>
      <w:pPr>
        <w:rPr>
          <w:rFonts w:hint="eastAsia"/>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r>
        <w:rPr>
          <w:rFonts w:hint="eastAsia" w:ascii="仿宋_GB2312" w:hAnsi="Segoe UI" w:eastAsia="仿宋_GB2312" w:cs="Segoe UI"/>
          <w:color w:val="333333"/>
          <w:kern w:val="0"/>
          <w:sz w:val="24"/>
          <w:szCs w:val="24"/>
          <w:lang w:eastAsia="zh-CN"/>
        </w:rPr>
        <w:t>、</w:t>
      </w:r>
      <w:r>
        <w:rPr>
          <w:rFonts w:hint="eastAsia" w:ascii="仿宋_GB2312" w:hAnsi="Segoe UI" w:eastAsia="仿宋_GB2312" w:cs="Segoe UI"/>
          <w:color w:val="333333"/>
          <w:kern w:val="0"/>
          <w:sz w:val="24"/>
          <w:szCs w:val="24"/>
          <w:lang w:val="en-US" w:eastAsia="zh-CN"/>
        </w:rPr>
        <w:t>经办人社保缴纳证明等资格文件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r>
        <w:rPr>
          <w:rFonts w:hint="eastAsia" w:ascii="仿宋_GB2312" w:hAnsi="Segoe UI" w:eastAsia="仿宋_GB2312" w:cs="Segoe UI"/>
          <w:color w:val="333333"/>
          <w:kern w:val="0"/>
          <w:sz w:val="24"/>
          <w:szCs w:val="24"/>
          <w:lang w:val="en-US" w:eastAsia="zh-CN"/>
        </w:rPr>
        <w:t>等资格文件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333333"/>
          <w:kern w:val="0"/>
          <w:sz w:val="22"/>
        </w:rPr>
      </w:pPr>
      <w:r>
        <w:rPr>
          <w:rFonts w:hint="eastAsia" w:ascii="仿宋_GB2312" w:hAnsi="Segoe UI" w:eastAsia="仿宋_GB2312" w:cs="Segoe UI"/>
          <w:color w:val="333333"/>
          <w:kern w:val="0"/>
          <w:sz w:val="22"/>
        </w:rPr>
        <w:t>1、偏离表</w:t>
      </w:r>
      <w:r>
        <w:rPr>
          <w:rFonts w:hint="eastAsia" w:ascii="仿宋_GB2312" w:hAnsi="Segoe UI" w:eastAsia="仿宋_GB2312" w:cs="Segoe UI"/>
          <w:color w:val="333333"/>
          <w:kern w:val="0"/>
          <w:sz w:val="22"/>
          <w:lang w:val="en-US" w:eastAsia="zh-CN"/>
        </w:rPr>
        <w:t>内容包含技术要求、商务要求，</w:t>
      </w:r>
      <w:r>
        <w:rPr>
          <w:rFonts w:hint="eastAsia" w:ascii="仿宋_GB2312" w:hAnsi="Segoe UI" w:eastAsia="仿宋_GB2312" w:cs="Segoe UI"/>
          <w:color w:val="333333"/>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333333"/>
          <w:kern w:val="0"/>
          <w:sz w:val="24"/>
          <w:szCs w:val="24"/>
        </w:rPr>
      </w:pP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1"/>
        <w:tblW w:w="8556" w:type="dxa"/>
        <w:tblInd w:w="-34" w:type="dxa"/>
        <w:shd w:val="clear" w:color="auto" w:fill="FFFFFF"/>
        <w:tblLayout w:type="fixed"/>
        <w:tblCellMar>
          <w:top w:w="0" w:type="dxa"/>
          <w:left w:w="0" w:type="dxa"/>
          <w:bottom w:w="0" w:type="dxa"/>
          <w:right w:w="0" w:type="dxa"/>
        </w:tblCellMar>
      </w:tblPr>
      <w:tblGrid>
        <w:gridCol w:w="845"/>
        <w:gridCol w:w="3266"/>
        <w:gridCol w:w="851"/>
        <w:gridCol w:w="1134"/>
        <w:gridCol w:w="1276"/>
        <w:gridCol w:w="1184"/>
      </w:tblGrid>
      <w:tr>
        <w:tblPrEx>
          <w:tblCellMar>
            <w:top w:w="0" w:type="dxa"/>
            <w:left w:w="0" w:type="dxa"/>
            <w:bottom w:w="0" w:type="dxa"/>
            <w:right w:w="0" w:type="dxa"/>
          </w:tblCellMar>
        </w:tblPrEx>
        <w:trPr>
          <w:trHeight w:val="735"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序号</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设备名称</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数量</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年度检测</w:t>
            </w:r>
            <w:r>
              <w:rPr>
                <w:rFonts w:hint="eastAsia" w:asciiTheme="minorEastAsia" w:hAnsiTheme="minorEastAsia"/>
                <w:color w:val="000000"/>
                <w:szCs w:val="21"/>
              </w:rPr>
              <w:t>次数</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r>
              <w:rPr>
                <w:rFonts w:hint="eastAsia" w:asciiTheme="minorEastAsia" w:hAnsiTheme="minorEastAsia"/>
                <w:szCs w:val="21"/>
              </w:rPr>
              <w:t>报价</w:t>
            </w:r>
          </w:p>
          <w:p>
            <w:pPr>
              <w:widowControl/>
              <w:spacing w:line="400" w:lineRule="exact"/>
              <w:jc w:val="center"/>
              <w:rPr>
                <w:rFonts w:asciiTheme="minorEastAsia" w:hAnsiTheme="minorEastAsia"/>
                <w:szCs w:val="21"/>
              </w:rPr>
            </w:pPr>
            <w:r>
              <w:rPr>
                <w:rFonts w:hint="eastAsia" w:asciiTheme="minorEastAsia" w:hAnsiTheme="minorEastAsia"/>
                <w:szCs w:val="21"/>
              </w:rPr>
              <w:t>（元/次）</w:t>
            </w: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r>
              <w:rPr>
                <w:rFonts w:hint="eastAsia" w:asciiTheme="minorEastAsia" w:hAnsiTheme="minorEastAsia"/>
                <w:szCs w:val="21"/>
              </w:rPr>
              <w:t>合计</w:t>
            </w:r>
          </w:p>
          <w:p>
            <w:pPr>
              <w:widowControl/>
              <w:spacing w:line="400" w:lineRule="exact"/>
              <w:jc w:val="center"/>
              <w:rPr>
                <w:rFonts w:asciiTheme="minorEastAsia" w:hAnsiTheme="minorEastAsia"/>
                <w:szCs w:val="21"/>
              </w:rPr>
            </w:pPr>
            <w:r>
              <w:rPr>
                <w:rFonts w:hint="eastAsia" w:asciiTheme="minorEastAsia" w:hAnsiTheme="minorEastAsia"/>
                <w:szCs w:val="21"/>
              </w:rPr>
              <w:t>（元）</w:t>
            </w:r>
          </w:p>
        </w:tc>
      </w:tr>
      <w:tr>
        <w:tblPrEx>
          <w:shd w:val="clear" w:color="auto" w:fill="FFFFFF"/>
          <w:tblCellMar>
            <w:top w:w="0" w:type="dxa"/>
            <w:left w:w="0" w:type="dxa"/>
            <w:bottom w:w="0" w:type="dxa"/>
            <w:right w:w="0" w:type="dxa"/>
          </w:tblCellMar>
        </w:tblPrEx>
        <w:trPr>
          <w:trHeight w:val="95"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16排螺旋CT</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329"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2</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数字化平板乳腺DR</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60"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3</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平板数字化多功能透视摄像系统</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411"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4</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移动式数字摄影X线系统</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403"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5</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直接数字化摄片系统</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267"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6</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医用血管造影X射线机</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409"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7</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X射线计算机体层摄影设备（128排CT）</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12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735"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8</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X射线计算机断层摄影设备（40排CT）</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12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339"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9</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数字乳腺X射线机</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344"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10</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数字X射线透视摄影系统</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209"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11</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移动式X射线机</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357"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12</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移动式平板C形臂X射线机</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363"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13</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双能骨密度仪</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368"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14</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数字化双能X射线骨密度仪</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2</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375"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15</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口腔数字化层摄影及全景X光机</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shd w:val="clear" w:color="auto" w:fill="FFFFFF"/>
          <w:tblCellMar>
            <w:top w:w="0" w:type="dxa"/>
            <w:left w:w="0" w:type="dxa"/>
            <w:bottom w:w="0" w:type="dxa"/>
            <w:right w:w="0" w:type="dxa"/>
          </w:tblCellMar>
        </w:tblPrEx>
        <w:trPr>
          <w:trHeight w:val="117" w:hRule="atLeast"/>
        </w:trPr>
        <w:tc>
          <w:tcPr>
            <w:tcW w:w="8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16</w:t>
            </w:r>
          </w:p>
        </w:tc>
        <w:tc>
          <w:tcPr>
            <w:tcW w:w="326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牙片机及CR</w:t>
            </w:r>
          </w:p>
        </w:tc>
        <w:tc>
          <w:tcPr>
            <w:tcW w:w="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asciiTheme="minorEastAsia" w:hAnsiTheme="minorEastAsia"/>
                <w:color w:val="000000"/>
                <w:szCs w:val="21"/>
              </w:rPr>
              <w:t>1</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kern w:val="0"/>
                <w:szCs w:val="21"/>
              </w:rPr>
            </w:pPr>
            <w:r>
              <w:rPr>
                <w:rFonts w:hint="eastAsia" w:cs="Times New Roman" w:asciiTheme="minorEastAsia" w:hAnsiTheme="minorEastAsia"/>
                <w:color w:val="000000"/>
                <w:szCs w:val="21"/>
              </w:rPr>
              <w:t>4</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00" w:lineRule="exact"/>
              <w:jc w:val="center"/>
              <w:rPr>
                <w:rFonts w:asciiTheme="minorEastAsia" w:hAnsiTheme="minorEastAsia"/>
                <w:szCs w:val="21"/>
              </w:rPr>
            </w:pP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r>
        <w:tblPrEx>
          <w:tblCellMar>
            <w:top w:w="0" w:type="dxa"/>
            <w:left w:w="0" w:type="dxa"/>
            <w:bottom w:w="0" w:type="dxa"/>
            <w:right w:w="0" w:type="dxa"/>
          </w:tblCellMar>
        </w:tblPrEx>
        <w:trPr>
          <w:trHeight w:val="117" w:hRule="atLeast"/>
        </w:trPr>
        <w:tc>
          <w:tcPr>
            <w:tcW w:w="7372"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400" w:lineRule="exact"/>
              <w:jc w:val="center"/>
              <w:rPr>
                <w:rFonts w:cs="Times New Roman" w:asciiTheme="minorEastAsia" w:hAnsiTheme="minorEastAsia"/>
                <w:color w:val="000000"/>
                <w:szCs w:val="21"/>
              </w:rPr>
            </w:pPr>
            <w:r>
              <w:rPr>
                <w:rFonts w:hint="eastAsia" w:cs="Times New Roman" w:asciiTheme="minorEastAsia" w:hAnsiTheme="minorEastAsia"/>
                <w:color w:val="000000"/>
                <w:szCs w:val="21"/>
              </w:rPr>
              <w:t>合计</w:t>
            </w:r>
          </w:p>
        </w:tc>
        <w:tc>
          <w:tcPr>
            <w:tcW w:w="1184" w:type="dxa"/>
            <w:tcBorders>
              <w:top w:val="single" w:color="auto" w:sz="8" w:space="0"/>
              <w:left w:val="nil"/>
              <w:bottom w:val="single" w:color="auto" w:sz="8" w:space="0"/>
              <w:right w:val="single" w:color="auto" w:sz="8" w:space="0"/>
            </w:tcBorders>
            <w:shd w:val="clear" w:color="auto" w:fill="FFFFFF"/>
            <w:vAlign w:val="center"/>
          </w:tcPr>
          <w:p>
            <w:pPr>
              <w:widowControl/>
              <w:spacing w:line="400" w:lineRule="exact"/>
              <w:jc w:val="center"/>
              <w:rPr>
                <w:rFonts w:asciiTheme="minorEastAsia" w:hAnsiTheme="minorEastAsia"/>
                <w:szCs w:val="21"/>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2"/>
        <w:ind w:firstLine="2108" w:firstLineChars="750"/>
        <w:rPr>
          <w:rFonts w:ascii="仿宋_GB2312" w:hAnsi="Segoe UI" w:eastAsia="仿宋_GB2312" w:cs="Segoe UI"/>
          <w:b/>
          <w:bCs/>
          <w:color w:val="333333"/>
          <w:kern w:val="0"/>
          <w:sz w:val="28"/>
          <w:szCs w:val="28"/>
        </w:rPr>
      </w:pPr>
      <w:r>
        <w:rPr>
          <w:rFonts w:hint="eastAsia" w:ascii="仿宋_GB2312" w:hAnsi="Segoe UI" w:eastAsia="仿宋_GB2312" w:cs="Segoe UI"/>
          <w:b/>
          <w:bCs/>
          <w:color w:val="333333"/>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微软雅黑" w:hAnsi="微软雅黑" w:eastAsia="微软雅黑" w:cs="Segoe UI"/>
          <w:bCs/>
          <w:color w:val="333333"/>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附件7：</w:t>
      </w:r>
    </w:p>
    <w:p>
      <w:pPr>
        <w:widowControl/>
        <w:jc w:val="center"/>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t>供应商遵守招标采购纪律承诺书</w:t>
      </w:r>
    </w:p>
    <w:p>
      <w:pPr>
        <w:jc w:val="center"/>
        <w:rPr>
          <w:rFonts w:ascii="Times New Roman" w:hAnsi="Times New Roman" w:cs="Times New Roman"/>
          <w:color w:val="000000"/>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十、与我方存在直接控股关系的单位为：</w:t>
      </w:r>
      <w:r>
        <w:rPr>
          <w:rFonts w:hint="eastAsia" w:ascii="仿宋_GB2312" w:hAnsi="Segoe UI" w:eastAsia="仿宋_GB2312" w:cs="Segoe UI"/>
          <w:color w:val="333333"/>
          <w:kern w:val="0"/>
          <w:sz w:val="24"/>
          <w:szCs w:val="24"/>
        </w:rPr>
        <w:t>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存在管理关系单位为：</w:t>
      </w:r>
      <w:r>
        <w:rPr>
          <w:rFonts w:hint="eastAsia" w:ascii="仿宋_GB2312" w:hAnsi="Segoe UI" w:eastAsia="仿宋_GB2312" w:cs="Segoe UI"/>
          <w:color w:val="333333"/>
          <w:kern w:val="0"/>
          <w:sz w:val="24"/>
          <w:szCs w:val="24"/>
        </w:rPr>
        <w:t>____________________________</w:t>
      </w:r>
      <w:r>
        <w:rPr>
          <w:rFonts w:ascii="仿宋_GB2312" w:hAnsi="Segoe UI" w:eastAsia="仿宋_GB2312" w:cs="Segoe UI"/>
          <w:color w:val="333333"/>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333333"/>
          <w:kern w:val="0"/>
          <w:sz w:val="24"/>
          <w:szCs w:val="24"/>
        </w:rPr>
      </w:pPr>
      <w:r>
        <w:rPr>
          <w:rFonts w:ascii="仿宋_GB2312" w:hAnsi="Segoe UI" w:eastAsia="仿宋_GB2312"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FF0000"/>
          <w:kern w:val="0"/>
          <w:sz w:val="24"/>
          <w:szCs w:val="24"/>
        </w:rPr>
      </w:pPr>
      <w:r>
        <w:rPr>
          <w:rFonts w:ascii="仿宋_GB2312" w:hAnsi="Segoe UI" w:eastAsia="仿宋_GB2312" w:cs="Segoe UI"/>
          <w:color w:val="FF0000"/>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7684003"/>
    <w:rsid w:val="0809162A"/>
    <w:rsid w:val="08552EB3"/>
    <w:rsid w:val="09883DB3"/>
    <w:rsid w:val="0B7702C0"/>
    <w:rsid w:val="0B890D43"/>
    <w:rsid w:val="0C0A0390"/>
    <w:rsid w:val="0C69586C"/>
    <w:rsid w:val="0EB033E5"/>
    <w:rsid w:val="11910093"/>
    <w:rsid w:val="14677B2B"/>
    <w:rsid w:val="15B626DC"/>
    <w:rsid w:val="17E0197B"/>
    <w:rsid w:val="18472232"/>
    <w:rsid w:val="18B93B85"/>
    <w:rsid w:val="1A707F41"/>
    <w:rsid w:val="1A752513"/>
    <w:rsid w:val="1DE05766"/>
    <w:rsid w:val="1E997E27"/>
    <w:rsid w:val="1F19224C"/>
    <w:rsid w:val="22827069"/>
    <w:rsid w:val="25933A00"/>
    <w:rsid w:val="272B37A3"/>
    <w:rsid w:val="27517D00"/>
    <w:rsid w:val="2C4B0446"/>
    <w:rsid w:val="2D7F46F7"/>
    <w:rsid w:val="2DE5580E"/>
    <w:rsid w:val="2DEC7015"/>
    <w:rsid w:val="31FB7325"/>
    <w:rsid w:val="3459137F"/>
    <w:rsid w:val="351D2E6B"/>
    <w:rsid w:val="35E40AE0"/>
    <w:rsid w:val="36170E81"/>
    <w:rsid w:val="368F2498"/>
    <w:rsid w:val="395149AF"/>
    <w:rsid w:val="39CE1F6A"/>
    <w:rsid w:val="3A1171EB"/>
    <w:rsid w:val="3B3977B7"/>
    <w:rsid w:val="3DA970F6"/>
    <w:rsid w:val="3DE462AE"/>
    <w:rsid w:val="41096628"/>
    <w:rsid w:val="43800988"/>
    <w:rsid w:val="45C50E50"/>
    <w:rsid w:val="45FE0BC5"/>
    <w:rsid w:val="47A53522"/>
    <w:rsid w:val="49A664ED"/>
    <w:rsid w:val="4B671727"/>
    <w:rsid w:val="4C76008D"/>
    <w:rsid w:val="4F2F772A"/>
    <w:rsid w:val="4F954CC0"/>
    <w:rsid w:val="502D72B4"/>
    <w:rsid w:val="59213BB4"/>
    <w:rsid w:val="5B1829CF"/>
    <w:rsid w:val="5F381B5D"/>
    <w:rsid w:val="60021495"/>
    <w:rsid w:val="622F0396"/>
    <w:rsid w:val="63D266D5"/>
    <w:rsid w:val="68FC41FB"/>
    <w:rsid w:val="6CA02C6A"/>
    <w:rsid w:val="700B2FC9"/>
    <w:rsid w:val="734A410E"/>
    <w:rsid w:val="735C33F9"/>
    <w:rsid w:val="73C228BF"/>
    <w:rsid w:val="76451E51"/>
    <w:rsid w:val="77CF51AC"/>
    <w:rsid w:val="7F1B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Plain Text"/>
    <w:basedOn w:val="1"/>
    <w:qFormat/>
    <w:uiPriority w:val="0"/>
    <w:rPr>
      <w:rFonts w:ascii="宋体" w:hAnsi="Courier New" w:eastAsia="宋体" w:cs="Courier New"/>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98"/>
    <w:pPr>
      <w:spacing w:before="240" w:after="60"/>
      <w:jc w:val="center"/>
      <w:outlineLvl w:val="0"/>
    </w:pPr>
    <w:rPr>
      <w:rFonts w:ascii="等线 Light" w:hAnsi="等线 Light"/>
      <w:b/>
      <w:bCs/>
      <w:sz w:val="32"/>
      <w:szCs w:val="32"/>
    </w:rPr>
  </w:style>
  <w:style w:type="paragraph" w:styleId="10">
    <w:name w:val="Body Text First Indent"/>
    <w:basedOn w:val="2"/>
    <w:unhideWhenUsed/>
    <w:qFormat/>
    <w:uiPriority w:val="99"/>
    <w:pPr>
      <w:ind w:firstLine="420" w:firstLineChars="100"/>
    </w:p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9"/>
    <w:next w:val="3"/>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7"/>
    <w:qFormat/>
    <w:uiPriority w:val="99"/>
    <w:rPr>
      <w:sz w:val="18"/>
      <w:szCs w:val="18"/>
    </w:rPr>
  </w:style>
  <w:style w:type="character" w:customStyle="1" w:styleId="16">
    <w:name w:val="页脚 字符"/>
    <w:basedOn w:val="13"/>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2"/>
    <w:qFormat/>
    <w:uiPriority w:val="99"/>
    <w:rPr>
      <w:szCs w:val="24"/>
    </w:rPr>
  </w:style>
  <w:style w:type="paragraph" w:customStyle="1" w:styleId="1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1227</Words>
  <Characters>6995</Characters>
  <Lines>58</Lines>
  <Paragraphs>16</Paragraphs>
  <TotalTime>10</TotalTime>
  <ScaleCrop>false</ScaleCrop>
  <LinksUpToDate>false</LinksUpToDate>
  <CharactersWithSpaces>8206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WPS_1569841065</cp:lastModifiedBy>
  <cp:lastPrinted>2024-07-31T00:40:00Z</cp:lastPrinted>
  <dcterms:modified xsi:type="dcterms:W3CDTF">2024-10-31T07:02:47Z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