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天府院区可视对讲系统采购项目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widowControl/>
        <w:suppressLineNumbers w:val="0"/>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：SCFY-HQ202406-002（磋）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both"/>
        <w:rPr>
          <w:rFonts w:hint="eastAsia" w:ascii="宋体" w:hAnsi="宋体" w:eastAsia="宋体" w:cs="宋体"/>
          <w:color w:val="auto"/>
          <w:sz w:val="24"/>
          <w:szCs w:val="24"/>
          <w:highlight w:val="no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天府院区可视对讲系统采购项目”院内采购会议，会议由后勤保障部组织。届时，请投标人准时参加，务必提供公司资质文件（密封盖章）、采购投标文件（密封盖章）、报价一览表（密封盖章）等资料，具体事项如下：</w:t>
      </w:r>
    </w:p>
    <w:p>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eastAsia="zh-CN"/>
        </w:rPr>
        <w:t>2024年7月12日（星期五）上午09:00</w:t>
      </w:r>
    </w:p>
    <w:p>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b/>
          <w:bCs/>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w:t>
      </w:r>
      <w:r>
        <w:rPr>
          <w:rFonts w:hint="eastAsia" w:ascii="宋体" w:hAnsi="宋体" w:cs="宋体"/>
          <w:i w:val="0"/>
          <w:iCs w:val="0"/>
          <w:caps w:val="0"/>
          <w:color w:val="auto"/>
          <w:spacing w:val="0"/>
          <w:sz w:val="24"/>
          <w:szCs w:val="24"/>
          <w:highlight w:val="none"/>
          <w:shd w:val="clear" w:color="auto" w:fill="FFFFFF"/>
          <w:lang w:val="en-US" w:eastAsia="zh-CN"/>
        </w:rPr>
        <w:t>其它</w:t>
      </w:r>
      <w:r>
        <w:rPr>
          <w:rFonts w:hint="eastAsia" w:ascii="宋体" w:hAnsi="宋体" w:eastAsia="宋体" w:cs="宋体"/>
          <w:i w:val="0"/>
          <w:iCs w:val="0"/>
          <w:caps w:val="0"/>
          <w:color w:val="auto"/>
          <w:spacing w:val="0"/>
          <w:sz w:val="24"/>
          <w:szCs w:val="24"/>
          <w:highlight w:val="none"/>
          <w:shd w:val="clear" w:color="auto" w:fill="FFFFFF"/>
          <w:lang w:val="en-US" w:eastAsia="zh-CN"/>
        </w:rPr>
        <w:t>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line="360" w:lineRule="auto"/>
        <w:ind w:left="479" w:leftChars="228" w:firstLine="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r>
        <w:rPr>
          <w:rFonts w:hint="eastAsia" w:ascii="宋体" w:hAnsi="宋体" w:cs="宋体"/>
          <w:b/>
          <w:bCs/>
          <w:i w:val="0"/>
          <w:iCs w:val="0"/>
          <w:caps w:val="0"/>
          <w:color w:val="auto"/>
          <w:spacing w:val="0"/>
          <w:sz w:val="24"/>
          <w:szCs w:val="24"/>
          <w:highlight w:val="none"/>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见附件2-4</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见附件2-5</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会前要求：</w:t>
      </w:r>
      <w:r>
        <w:rPr>
          <w:rFonts w:hint="eastAsia" w:ascii="宋体" w:hAnsi="宋体" w:eastAsia="宋体" w:cs="宋体"/>
          <w:b/>
          <w:bCs/>
          <w:i w:val="0"/>
          <w:iCs w:val="0"/>
          <w:caps w:val="0"/>
          <w:color w:val="auto"/>
          <w:spacing w:val="0"/>
          <w:sz w:val="24"/>
          <w:szCs w:val="24"/>
          <w:highlight w:val="none"/>
          <w:u w:val="single"/>
          <w:shd w:val="clear" w:color="auto" w:fill="FFFFFF"/>
        </w:rPr>
        <w:t>拟参会供应商需于</w:t>
      </w: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2024年7月</w:t>
      </w:r>
      <w:r>
        <w:rPr>
          <w:rFonts w:hint="eastAsia" w:ascii="宋体" w:hAnsi="宋体" w:cs="宋体"/>
          <w:b/>
          <w:bCs/>
          <w:i w:val="0"/>
          <w:iCs w:val="0"/>
          <w:caps w:val="0"/>
          <w:color w:val="auto"/>
          <w:spacing w:val="0"/>
          <w:sz w:val="24"/>
          <w:szCs w:val="24"/>
          <w:highlight w:val="none"/>
          <w:u w:val="single"/>
          <w:shd w:val="clear" w:color="auto" w:fill="FFFFFF"/>
          <w:lang w:val="en-US" w:eastAsia="zh-CN"/>
        </w:rPr>
        <w:t>10</w:t>
      </w: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日（星期</w:t>
      </w:r>
      <w:r>
        <w:rPr>
          <w:rFonts w:hint="eastAsia" w:ascii="宋体" w:hAnsi="宋体" w:cs="宋体"/>
          <w:b/>
          <w:bCs/>
          <w:i w:val="0"/>
          <w:iCs w:val="0"/>
          <w:caps w:val="0"/>
          <w:color w:val="auto"/>
          <w:spacing w:val="0"/>
          <w:sz w:val="24"/>
          <w:szCs w:val="24"/>
          <w:highlight w:val="none"/>
          <w:u w:val="single"/>
          <w:shd w:val="clear" w:color="auto" w:fill="FFFFFF"/>
          <w:lang w:val="en-US" w:eastAsia="zh-CN"/>
        </w:rPr>
        <w:t>三</w:t>
      </w:r>
      <w:bookmarkStart w:id="0" w:name="_GoBack"/>
      <w:bookmarkEnd w:id="0"/>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）12：</w:t>
      </w: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fldChar w:fldCharType="begin"/>
      </w: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instrText xml:space="preserve"> HYPERLINK "mailto:00前向后勤保障部提供4.2.1-4.2.4资格证明文件，发送到411348364@qq.com邮箱进行资格前审查。" </w:instrText>
      </w: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fldChar w:fldCharType="separate"/>
      </w:r>
      <w:r>
        <w:rPr>
          <w:rStyle w:val="19"/>
          <w:rFonts w:hint="eastAsia" w:ascii="宋体" w:hAnsi="宋体" w:eastAsia="宋体" w:cs="宋体"/>
          <w:b/>
          <w:bCs/>
          <w:i w:val="0"/>
          <w:iCs w:val="0"/>
          <w:caps w:val="0"/>
          <w:color w:val="auto"/>
          <w:spacing w:val="0"/>
          <w:sz w:val="24"/>
          <w:szCs w:val="24"/>
          <w:highlight w:val="none"/>
          <w:u w:val="single"/>
          <w:shd w:val="clear" w:color="auto" w:fill="FFFFFF"/>
          <w:lang w:val="en-US" w:eastAsia="zh-CN"/>
        </w:rPr>
        <w:t>00前向后勤保障部提供4.2.1-4.2.4资格证明文件，发送到411348364@qq.com邮箱进行资格前审查。</w:t>
      </w: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fldChar w:fldCharType="end"/>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2024年7月12日（星期五）上午09:00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2024年7月12日（星期五）上午09:00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其它说明：</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提供的所有资料须加盖鲜章，并按要求密封。</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color w:val="auto"/>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cs="宋体"/>
          <w:i w:val="0"/>
          <w:iCs w:val="0"/>
          <w:caps w:val="0"/>
          <w:color w:val="auto"/>
          <w:spacing w:val="0"/>
          <w:sz w:val="24"/>
          <w:szCs w:val="24"/>
          <w:highlight w:val="none"/>
          <w:shd w:val="clear" w:color="auto" w:fill="FFFFFF"/>
          <w:lang w:val="en-US" w:eastAsia="zh-CN"/>
        </w:rPr>
        <w:t>。</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王</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w:t>
      </w:r>
      <w:r>
        <w:rPr>
          <w:rFonts w:hint="eastAsia" w:ascii="宋体" w:hAnsi="宋体" w:cs="宋体"/>
          <w:i w:val="0"/>
          <w:iCs w:val="0"/>
          <w:caps w:val="0"/>
          <w:color w:val="auto"/>
          <w:spacing w:val="0"/>
          <w:sz w:val="24"/>
          <w:szCs w:val="24"/>
          <w:highlight w:val="none"/>
          <w:shd w:val="clear" w:color="auto" w:fill="FFFFFF"/>
          <w:lang w:val="en-US" w:eastAsia="zh-CN"/>
        </w:rPr>
        <w:t>5978238</w:t>
      </w:r>
      <w:r>
        <w:rPr>
          <w:rFonts w:hint="eastAsia" w:ascii="宋体" w:hAnsi="宋体" w:eastAsia="宋体" w:cs="宋体"/>
          <w:i w:val="0"/>
          <w:iCs w:val="0"/>
          <w:caps w:val="0"/>
          <w:color w:val="auto"/>
          <w:spacing w:val="0"/>
          <w:sz w:val="24"/>
          <w:szCs w:val="24"/>
          <w:highlight w:val="none"/>
          <w:shd w:val="clear" w:color="auto" w:fill="FFFFFF"/>
        </w:rPr>
        <w:t>。</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shd w:val="clear" w:color="auto" w:fill="FFFFFF"/>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r>
        <w:rPr>
          <w:rFonts w:hint="eastAsia" w:ascii="宋体" w:hAnsi="宋体" w:eastAsia="宋体" w:cs="宋体"/>
          <w:sz w:val="24"/>
          <w:szCs w:val="24"/>
          <w:shd w:val="clear" w:color="auto" w:fill="FFFFFF"/>
        </w:rPr>
        <w:t>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一、项目名称：</w:t>
      </w:r>
      <w:r>
        <w:rPr>
          <w:rFonts w:hint="eastAsia" w:ascii="宋体" w:hAnsi="宋体" w:eastAsia="宋体" w:cs="宋体"/>
          <w:i w:val="0"/>
          <w:iCs w:val="0"/>
          <w:caps w:val="0"/>
          <w:color w:val="auto"/>
          <w:spacing w:val="0"/>
          <w:sz w:val="24"/>
          <w:szCs w:val="24"/>
          <w:highlight w:val="none"/>
          <w:shd w:val="clear" w:color="auto" w:fill="FFFFFF"/>
          <w:lang w:val="en-US" w:eastAsia="zh-CN"/>
        </w:rPr>
        <w:t>天府院区可视对讲系统采购项目</w:t>
      </w:r>
      <w:r>
        <w:rPr>
          <w:rFonts w:hint="eastAsia" w:ascii="宋体" w:hAnsi="宋体" w:eastAsia="宋体" w:cs="宋体"/>
          <w:i w:val="0"/>
          <w:caps w:val="0"/>
          <w:color w:val="auto"/>
          <w:spacing w:val="0"/>
          <w:sz w:val="24"/>
          <w:szCs w:val="24"/>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二、采购方式：竞争性磋商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三、项目地址：四川省妇幼保健院</w:t>
      </w:r>
      <w:r>
        <w:rPr>
          <w:rFonts w:hint="eastAsia" w:ascii="宋体" w:hAnsi="宋体" w:eastAsia="宋体" w:cs="宋体"/>
          <w:i w:val="0"/>
          <w:iCs w:val="0"/>
          <w:caps w:val="0"/>
          <w:color w:val="auto"/>
          <w:spacing w:val="0"/>
          <w:sz w:val="24"/>
          <w:szCs w:val="24"/>
          <w:highlight w:val="none"/>
          <w:shd w:val="clear" w:color="auto" w:fill="FFFFFF"/>
          <w:lang w:val="en-US" w:eastAsia="zh-CN"/>
        </w:rPr>
        <w:t>天府院区（</w:t>
      </w:r>
      <w:r>
        <w:rPr>
          <w:rFonts w:hint="eastAsia" w:ascii="宋体" w:hAnsi="宋体" w:eastAsia="宋体" w:cs="宋体"/>
          <w:sz w:val="24"/>
          <w:szCs w:val="24"/>
        </w:rPr>
        <w:t>成都市双流区岐黄二路1515号）</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四、</w:t>
      </w:r>
      <w:r>
        <w:rPr>
          <w:rFonts w:hint="eastAsia" w:ascii="宋体" w:hAnsi="宋体" w:eastAsia="宋体" w:cs="宋体"/>
          <w:i w:val="0"/>
          <w:caps w:val="0"/>
          <w:color w:val="auto"/>
          <w:spacing w:val="0"/>
          <w:sz w:val="24"/>
          <w:szCs w:val="24"/>
          <w:shd w:val="clear" w:color="auto" w:fill="FFFFFF"/>
          <w:lang w:val="en-US" w:eastAsia="zh-CN"/>
        </w:rPr>
        <w:t>各潜在供应商均可到现场踏勘（现场踏勘电话：028-60671077 联系人：唐老师）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kern w:val="2"/>
          <w:sz w:val="24"/>
          <w:szCs w:val="24"/>
          <w:shd w:val="clear" w:fill="FFFFFF"/>
          <w:lang w:val="en-US" w:eastAsia="zh-CN" w:bidi="ar-SA"/>
        </w:rPr>
        <w:t>五、</w:t>
      </w:r>
      <w:r>
        <w:rPr>
          <w:rFonts w:hint="eastAsia" w:ascii="宋体" w:hAnsi="宋体" w:eastAsia="宋体" w:cs="宋体"/>
          <w:i w:val="0"/>
          <w:caps w:val="0"/>
          <w:color w:val="auto"/>
          <w:spacing w:val="0"/>
          <w:sz w:val="24"/>
          <w:szCs w:val="24"/>
          <w:shd w:val="clear" w:color="auto" w:fill="FFFFFF"/>
          <w:lang w:val="en-US" w:eastAsia="zh-CN"/>
        </w:rPr>
        <w:t>项目</w:t>
      </w:r>
      <w:r>
        <w:rPr>
          <w:rFonts w:hint="eastAsia" w:ascii="宋体" w:hAnsi="宋体" w:eastAsia="宋体" w:cs="宋体"/>
          <w:i w:val="0"/>
          <w:caps w:val="0"/>
          <w:color w:val="auto"/>
          <w:spacing w:val="0"/>
          <w:sz w:val="24"/>
          <w:szCs w:val="24"/>
          <w:shd w:val="clear" w:color="auto" w:fill="FFFFFF"/>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（一）四川省妇幼保健院</w:t>
      </w:r>
      <w:r>
        <w:rPr>
          <w:rFonts w:hint="eastAsia" w:ascii="宋体" w:hAnsi="宋体" w:eastAsia="宋体" w:cs="宋体"/>
          <w:i w:val="0"/>
          <w:iCs w:val="0"/>
          <w:caps w:val="0"/>
          <w:color w:val="auto"/>
          <w:spacing w:val="0"/>
          <w:sz w:val="24"/>
          <w:szCs w:val="24"/>
          <w:highlight w:val="none"/>
          <w:shd w:val="clear" w:color="auto" w:fill="FFFFFF"/>
          <w:lang w:val="en-US" w:eastAsia="zh-CN"/>
        </w:rPr>
        <w:t>天府院区</w:t>
      </w:r>
      <w:r>
        <w:rPr>
          <w:rFonts w:hint="eastAsia" w:ascii="宋体" w:hAnsi="宋体" w:eastAsia="宋体" w:cs="宋体"/>
          <w:i w:val="0"/>
          <w:caps w:val="0"/>
          <w:color w:val="auto"/>
          <w:spacing w:val="0"/>
          <w:sz w:val="24"/>
          <w:szCs w:val="24"/>
          <w:shd w:val="clear" w:color="auto" w:fill="FFFFFF"/>
        </w:rPr>
        <w:t>新生儿科、检验科、手术室、产房</w:t>
      </w:r>
      <w:r>
        <w:rPr>
          <w:rFonts w:hint="eastAsia" w:ascii="宋体" w:hAnsi="宋体" w:eastAsia="宋体" w:cs="宋体"/>
          <w:i w:val="0"/>
          <w:caps w:val="0"/>
          <w:color w:val="auto"/>
          <w:spacing w:val="0"/>
          <w:sz w:val="24"/>
          <w:szCs w:val="24"/>
          <w:shd w:val="clear" w:color="auto" w:fill="FFFFFF"/>
          <w:lang w:val="en-US" w:eastAsia="zh-CN"/>
        </w:rPr>
        <w:t>等</w:t>
      </w:r>
      <w:r>
        <w:rPr>
          <w:rFonts w:hint="eastAsia" w:ascii="宋体" w:hAnsi="宋体" w:eastAsia="宋体" w:cs="宋体"/>
          <w:i w:val="0"/>
          <w:caps w:val="0"/>
          <w:color w:val="auto"/>
          <w:spacing w:val="0"/>
          <w:sz w:val="24"/>
          <w:szCs w:val="24"/>
          <w:shd w:val="clear" w:color="auto" w:fill="FFFFFF"/>
        </w:rPr>
        <w:t>安装可视对讲系统</w:t>
      </w:r>
      <w:r>
        <w:rPr>
          <w:rFonts w:hint="eastAsia" w:ascii="宋体" w:hAnsi="宋体" w:eastAsia="宋体" w:cs="宋体"/>
          <w:i w:val="0"/>
          <w:caps w:val="0"/>
          <w:color w:val="auto"/>
          <w:spacing w:val="0"/>
          <w:sz w:val="24"/>
          <w:szCs w:val="24"/>
          <w:shd w:val="clear" w:color="auto" w:fill="FFFFFF"/>
          <w:lang w:val="en-US" w:eastAsia="zh-CN"/>
        </w:rPr>
        <w:t>预估</w:t>
      </w:r>
      <w:r>
        <w:rPr>
          <w:rFonts w:hint="eastAsia" w:ascii="宋体" w:hAnsi="宋体" w:eastAsia="宋体" w:cs="宋体"/>
          <w:i w:val="0"/>
          <w:caps w:val="0"/>
          <w:color w:val="auto"/>
          <w:spacing w:val="0"/>
          <w:sz w:val="24"/>
          <w:szCs w:val="24"/>
          <w:shd w:val="clear" w:color="auto" w:fill="FFFFFF"/>
        </w:rPr>
        <w:t>共计12套</w:t>
      </w:r>
      <w:r>
        <w:rPr>
          <w:rFonts w:hint="eastAsia" w:ascii="宋体" w:hAnsi="宋体" w:eastAsia="宋体" w:cs="宋体"/>
          <w:i w:val="0"/>
          <w:caps w:val="0"/>
          <w:color w:val="auto"/>
          <w:spacing w:val="0"/>
          <w:sz w:val="24"/>
          <w:szCs w:val="24"/>
          <w:shd w:val="clear" w:color="auto" w:fill="FFFFFF"/>
          <w:lang w:eastAsia="zh-CN"/>
        </w:rPr>
        <w:t>。</w:t>
      </w:r>
      <w:r>
        <w:rPr>
          <w:rFonts w:hint="eastAsia" w:ascii="宋体" w:hAnsi="宋体" w:eastAsia="宋体" w:cs="宋体"/>
          <w:color w:val="000000"/>
          <w:kern w:val="0"/>
          <w:sz w:val="24"/>
          <w:szCs w:val="24"/>
          <w:lang w:val="en-US" w:eastAsia="zh-CN" w:bidi="ar"/>
        </w:rPr>
        <w:t>根据各科室实际需求，部分门禁点位与护士台、综合管理台之间需配备可视对讲设备，实现医院管理者与患者之间进行可视对讲通话以及门禁控制功能，以保障各通道人员进出的安全性。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i w:val="0"/>
          <w:caps w:val="0"/>
          <w:color w:val="auto"/>
          <w:spacing w:val="0"/>
          <w:kern w:val="2"/>
          <w:sz w:val="24"/>
          <w:szCs w:val="24"/>
          <w:shd w:val="clear" w:fill="FFFFFF"/>
          <w:lang w:val="en-US" w:eastAsia="zh-CN" w:bidi="ar-SA"/>
        </w:rPr>
      </w:pPr>
      <w:r>
        <w:rPr>
          <w:rFonts w:hint="eastAsia" w:ascii="宋体" w:hAnsi="宋体" w:eastAsia="宋体" w:cs="宋体"/>
          <w:i w:val="0"/>
          <w:caps w:val="0"/>
          <w:color w:val="auto"/>
          <w:spacing w:val="0"/>
          <w:sz w:val="24"/>
          <w:szCs w:val="24"/>
          <w:shd w:val="clear" w:color="auto" w:fill="FFFFFF"/>
          <w:lang w:val="en-US" w:eastAsia="zh-CN"/>
        </w:rPr>
        <w:t>（二）四川省妇幼保健院</w:t>
      </w:r>
      <w:r>
        <w:rPr>
          <w:rFonts w:hint="eastAsia" w:ascii="宋体" w:hAnsi="宋体" w:eastAsia="宋体" w:cs="宋体"/>
          <w:i w:val="0"/>
          <w:iCs w:val="0"/>
          <w:caps w:val="0"/>
          <w:color w:val="auto"/>
          <w:spacing w:val="0"/>
          <w:sz w:val="24"/>
          <w:szCs w:val="24"/>
          <w:highlight w:val="none"/>
          <w:shd w:val="clear" w:color="auto" w:fill="FFFFFF"/>
          <w:lang w:val="en-US" w:eastAsia="zh-CN"/>
        </w:rPr>
        <w:t>天府院区</w:t>
      </w:r>
      <w:r>
        <w:rPr>
          <w:rFonts w:hint="eastAsia" w:ascii="宋体" w:hAnsi="宋体" w:eastAsia="宋体" w:cs="宋体"/>
          <w:sz w:val="24"/>
          <w:szCs w:val="24"/>
        </w:rPr>
        <w:t>现使用安防设备、器材主要以海康威视为主</w:t>
      </w:r>
      <w:r>
        <w:rPr>
          <w:rFonts w:hint="eastAsia" w:ascii="宋体" w:hAnsi="宋体" w:eastAsia="宋体" w:cs="宋体"/>
          <w:i w:val="0"/>
          <w:caps w:val="0"/>
          <w:color w:val="auto"/>
          <w:spacing w:val="0"/>
          <w:kern w:val="2"/>
          <w:sz w:val="24"/>
          <w:szCs w:val="24"/>
          <w:shd w:val="clear" w:fill="FFFFFF"/>
          <w:lang w:val="en-US" w:eastAsia="zh-CN" w:bidi="ar-SA"/>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本次所采购的设备均应接入原可视化对讲系统。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i w:val="0"/>
          <w:caps w:val="0"/>
          <w:color w:val="auto"/>
          <w:spacing w:val="0"/>
          <w:kern w:val="2"/>
          <w:sz w:val="24"/>
          <w:szCs w:val="24"/>
          <w:shd w:val="clear" w:fill="FFFFFF"/>
          <w:lang w:val="en-US" w:eastAsia="zh-CN" w:bidi="ar-SA"/>
        </w:rPr>
      </w:pPr>
      <w:r>
        <w:rPr>
          <w:rFonts w:hint="eastAsia" w:ascii="宋体" w:hAnsi="宋体" w:eastAsia="宋体" w:cs="宋体"/>
          <w:i w:val="0"/>
          <w:caps w:val="0"/>
          <w:color w:val="auto"/>
          <w:spacing w:val="0"/>
          <w:kern w:val="2"/>
          <w:sz w:val="24"/>
          <w:szCs w:val="24"/>
          <w:shd w:val="clear" w:fill="FFFFFF"/>
          <w:lang w:val="en-US" w:eastAsia="zh-CN" w:bidi="ar-SA"/>
        </w:rPr>
        <w:t>（三）项目参数</w:t>
      </w:r>
      <w:r>
        <w:rPr>
          <w:rFonts w:hint="eastAsia" w:ascii="宋体" w:hAnsi="宋体" w:eastAsia="宋体" w:cs="宋体"/>
          <w:color w:val="auto"/>
          <w:sz w:val="24"/>
          <w:szCs w:val="24"/>
        </w:rPr>
        <w:t>★</w:t>
      </w:r>
    </w:p>
    <w:tbl>
      <w:tblPr>
        <w:tblStyle w:val="16"/>
        <w:tblW w:w="9979" w:type="dxa"/>
        <w:tblInd w:w="-605" w:type="dxa"/>
        <w:tblLayout w:type="fixed"/>
        <w:tblCellMar>
          <w:top w:w="0" w:type="dxa"/>
          <w:left w:w="108" w:type="dxa"/>
          <w:bottom w:w="0" w:type="dxa"/>
          <w:right w:w="108" w:type="dxa"/>
        </w:tblCellMar>
      </w:tblPr>
      <w:tblGrid>
        <w:gridCol w:w="507"/>
        <w:gridCol w:w="1088"/>
        <w:gridCol w:w="7664"/>
        <w:gridCol w:w="720"/>
      </w:tblGrid>
      <w:tr>
        <w:tblPrEx>
          <w:tblCellMar>
            <w:top w:w="0" w:type="dxa"/>
            <w:left w:w="108" w:type="dxa"/>
            <w:bottom w:w="0" w:type="dxa"/>
            <w:right w:w="108" w:type="dxa"/>
          </w:tblCellMar>
        </w:tblPrEx>
        <w:trPr>
          <w:trHeight w:val="639" w:hRule="atLeast"/>
        </w:trPr>
        <w:tc>
          <w:tcPr>
            <w:tcW w:w="50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088"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
                <w:bCs/>
                <w:color w:val="000000"/>
                <w:kern w:val="0"/>
                <w:sz w:val="24"/>
                <w:szCs w:val="24"/>
                <w:lang w:bidi="ar"/>
              </w:rPr>
            </w:pPr>
          </w:p>
        </w:tc>
        <w:tc>
          <w:tcPr>
            <w:tcW w:w="7664"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技术参数</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r>
      <w:tr>
        <w:tblPrEx>
          <w:tblCellMar>
            <w:top w:w="0" w:type="dxa"/>
            <w:left w:w="108" w:type="dxa"/>
            <w:bottom w:w="0" w:type="dxa"/>
            <w:right w:w="108" w:type="dxa"/>
          </w:tblCellMar>
        </w:tblPrEx>
        <w:trPr>
          <w:trHeight w:val="274" w:hRule="atLeast"/>
        </w:trPr>
        <w:tc>
          <w:tcPr>
            <w:tcW w:w="507" w:type="dxa"/>
            <w:tcBorders>
              <w:top w:val="single" w:color="000000" w:sz="8"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1</w:t>
            </w:r>
          </w:p>
        </w:tc>
        <w:tc>
          <w:tcPr>
            <w:tcW w:w="1088" w:type="dxa"/>
            <w:tcBorders>
              <w:top w:val="single" w:color="000000" w:sz="8" w:space="0"/>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可视对讲室内机</w:t>
            </w:r>
          </w:p>
        </w:tc>
        <w:tc>
          <w:tcPr>
            <w:tcW w:w="7664" w:type="dxa"/>
            <w:tcBorders>
              <w:top w:val="single" w:color="000000" w:sz="8" w:space="0"/>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 显示屏：≥7寸彩色TFT LCD</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分辨率：1024×600</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 室内机与单元门口机、室内机与中心管理机之间可双向对讲；</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 xml:space="preserve">. 支持室内机之间的户户语音对讲与户内语音对讲；同一房号支持多室内机，同户最多支持6台室内机 </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 支持主动查看门口机画面并发起与门口机进行双向对讲，可进行一键远程开门；支持直接向管理机注册（无需门口机），室内机与管理机可进行双向呼叫对讲；</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 支持实时查看权限范围内的公共摄像头图像；支持接收中心下发的图文信息，信息有分类处理；</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 xml:space="preserve"> 支持自动应答与免打扰功能；采用先进的噪声抑制与回声消除技术，保证话音质量清晰明亮；</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支持室内机呼梯到对应楼层；</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7</w:t>
            </w:r>
            <w:r>
              <w:rPr>
                <w:rFonts w:hint="eastAsia" w:ascii="宋体" w:hAnsi="宋体" w:eastAsia="宋体" w:cs="宋体"/>
                <w:color w:val="000000"/>
                <w:kern w:val="0"/>
                <w:sz w:val="24"/>
                <w:szCs w:val="24"/>
                <w:lang w:bidi="ar"/>
              </w:rPr>
              <w:t>. 支持通过Web端在门口机上批量导入房号和IP地址，实现批量激活；</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8</w:t>
            </w:r>
            <w:r>
              <w:rPr>
                <w:rFonts w:hint="eastAsia" w:ascii="宋体" w:hAnsi="宋体" w:eastAsia="宋体" w:cs="宋体"/>
                <w:color w:val="000000"/>
                <w:kern w:val="0"/>
                <w:sz w:val="24"/>
                <w:szCs w:val="24"/>
                <w:lang w:bidi="ar"/>
              </w:rPr>
              <w:t>. 支持门口机呼叫时留言，带抓拍照片；支持用户自定义开门密码、胁迫密码设置；</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9</w:t>
            </w:r>
            <w:r>
              <w:rPr>
                <w:rFonts w:hint="eastAsia" w:ascii="宋体" w:hAnsi="宋体" w:eastAsia="宋体" w:cs="宋体"/>
                <w:color w:val="000000"/>
                <w:kern w:val="0"/>
                <w:sz w:val="24"/>
                <w:szCs w:val="24"/>
                <w:lang w:bidi="ar"/>
              </w:rPr>
              <w:t>. 设备支持报警接入功能（8路有线防区接入），第8防区可作为叮咚门铃功能使用；</w:t>
            </w:r>
          </w:p>
          <w:p>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10</w:t>
            </w:r>
            <w:r>
              <w:rPr>
                <w:rFonts w:hint="eastAsia" w:ascii="宋体" w:hAnsi="宋体" w:eastAsia="宋体" w:cs="宋体"/>
                <w:color w:val="000000"/>
                <w:kern w:val="0"/>
                <w:sz w:val="24"/>
                <w:szCs w:val="24"/>
                <w:lang w:bidi="ar"/>
              </w:rPr>
              <w:t>. 室内机对讲专用交换机网线供电时支持输出一路12V 200mA电源用于探测器供电；</w:t>
            </w:r>
          </w:p>
        </w:tc>
        <w:tc>
          <w:tcPr>
            <w:tcW w:w="72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台</w:t>
            </w:r>
          </w:p>
        </w:tc>
      </w:tr>
      <w:tr>
        <w:tblPrEx>
          <w:tblCellMar>
            <w:top w:w="0" w:type="dxa"/>
            <w:left w:w="108" w:type="dxa"/>
            <w:bottom w:w="0" w:type="dxa"/>
            <w:right w:w="108" w:type="dxa"/>
          </w:tblCellMar>
        </w:tblPrEx>
        <w:trPr>
          <w:trHeight w:val="4970" w:hRule="atLeast"/>
        </w:trPr>
        <w:tc>
          <w:tcPr>
            <w:tcW w:w="507" w:type="dxa"/>
            <w:tcBorders>
              <w:top w:val="single" w:color="000000" w:sz="8"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088" w:type="dxa"/>
            <w:tcBorders>
              <w:top w:val="single" w:color="000000" w:sz="8" w:space="0"/>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color w:val="000000"/>
                <w:kern w:val="0"/>
                <w:sz w:val="24"/>
                <w:szCs w:val="24"/>
                <w:u w:val="none"/>
                <w:lang w:val="en-US" w:eastAsia="zh-CN" w:bidi="ar"/>
              </w:rPr>
              <w:t>可视对讲室外机</w:t>
            </w:r>
          </w:p>
        </w:tc>
        <w:tc>
          <w:tcPr>
            <w:tcW w:w="7664" w:type="dxa"/>
            <w:tcBorders>
              <w:top w:val="single" w:color="000000" w:sz="8" w:space="0"/>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1. 设备采用≥7英寸触摸显示屏，屏幕分辨率≥1024*600，可显示软件界面及操作提示，设备实时检测最大人脸，具有人脸框提示设计，方便校准。</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2. 不少于2个摄像头（1个可见光摄像头+1个红外摄像头），码流支持≥1920×1080@25帧/秒，适应强光、逆光、弱光等条件下的人脸识别，支持通过人脸及人体测光，快速调节图像亮度</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3. 设备支持≥10000张人脸白名单、≥50000张卡片，≥150000条本地出入记录，支持通过韦根接口外接门禁主机或韦根读卡器；</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4. 屏幕采用不低于水滴屏全贴合工艺，玻璃屏占比≥90%，屏幕流明度≥600cd/m2，具有指示灯支持固定频率的亮起和熄灭（呼吸状态）及识别状态提示；</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5. 防护等级不低于</w:t>
            </w:r>
            <w:r>
              <w:rPr>
                <w:rFonts w:hint="eastAsia" w:ascii="宋体" w:hAnsi="宋体" w:eastAsia="宋体" w:cs="宋体"/>
                <w:color w:val="000000" w:themeColor="text1"/>
                <w:kern w:val="0"/>
                <w:sz w:val="24"/>
                <w:szCs w:val="24"/>
                <w:lang w:bidi="ar"/>
                <w14:textFill>
                  <w14:solidFill>
                    <w14:schemeClr w14:val="tx1"/>
                  </w14:solidFill>
                </w14:textFill>
              </w:rPr>
              <w:t>IP6</w:t>
            </w:r>
            <w:r>
              <w:rPr>
                <w:rFonts w:hint="eastAsia" w:ascii="宋体" w:hAnsi="宋体" w:eastAsia="宋体" w:cs="宋体"/>
                <w:color w:val="000000" w:themeColor="text1"/>
                <w:kern w:val="0"/>
                <w:sz w:val="24"/>
                <w:szCs w:val="24"/>
                <w:lang w:val="en-US" w:eastAsia="zh-CN" w:bidi="ar"/>
                <w14:textFill>
                  <w14:solidFill>
                    <w14:schemeClr w14:val="tx1"/>
                  </w14:solidFill>
                </w14:textFill>
              </w:rPr>
              <w:t>5</w:t>
            </w:r>
            <w:r>
              <w:rPr>
                <w:rFonts w:hint="eastAsia" w:ascii="宋体" w:hAnsi="宋体" w:eastAsia="宋体" w:cs="宋体"/>
                <w:color w:val="000000"/>
                <w:kern w:val="0"/>
                <w:sz w:val="24"/>
                <w:szCs w:val="24"/>
                <w:lang w:bidi="ar"/>
              </w:rPr>
              <w:t>，支持选择嵌入式、壁挂、桌面、立式、人员通道安装；</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6. 人脸1:1对比平均时间≤120ms ，认假率≤0.0002% ，拒真率≤1%，准确率≥99%；</w:t>
            </w:r>
          </w:p>
          <w:p>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7. 支持 IC 卡识读，支持配置防卡片复制安全机制，第三方卡片或复制卡片可屏蔽识读；支持识读模块的扩展功能，形成一体化识别终端，扩展模块支持二维码、蓝牙和指纹识读，支持type C热插拔连接；</w:t>
            </w:r>
          </w:p>
        </w:tc>
        <w:tc>
          <w:tcPr>
            <w:tcW w:w="72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r>
      <w:tr>
        <w:tblPrEx>
          <w:tblCellMar>
            <w:top w:w="0" w:type="dxa"/>
            <w:left w:w="108" w:type="dxa"/>
            <w:bottom w:w="0" w:type="dxa"/>
            <w:right w:w="108" w:type="dxa"/>
          </w:tblCellMar>
        </w:tblPrEx>
        <w:trPr>
          <w:trHeight w:val="2025" w:hRule="atLeast"/>
        </w:trPr>
        <w:tc>
          <w:tcPr>
            <w:tcW w:w="507" w:type="dxa"/>
            <w:tcBorders>
              <w:top w:val="single" w:color="000000" w:sz="8"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088"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80" w:lineRule="atLeast"/>
              <w:ind w:left="0" w:right="0"/>
              <w:rPr>
                <w:rFonts w:hint="eastAsia" w:ascii="宋体" w:hAnsi="宋体" w:eastAsia="宋体" w:cs="宋体"/>
                <w:color w:val="000000"/>
                <w:kern w:val="0"/>
                <w:sz w:val="24"/>
                <w:szCs w:val="24"/>
                <w:lang w:val="en-US" w:eastAsia="zh-CN" w:bidi="ar"/>
              </w:rPr>
            </w:pPr>
            <w:r>
              <w:rPr>
                <w:rFonts w:hint="eastAsia" w:ascii="宋体" w:hAnsi="宋体" w:eastAsia="宋体" w:cs="宋体"/>
                <w:i w:val="0"/>
                <w:color w:val="000000"/>
                <w:kern w:val="0"/>
                <w:sz w:val="24"/>
                <w:szCs w:val="24"/>
                <w:u w:val="none"/>
                <w:lang w:val="en-US" w:eastAsia="zh-CN" w:bidi="ar"/>
              </w:rPr>
              <w:t>可视对讲解码交换机</w:t>
            </w:r>
          </w:p>
        </w:tc>
        <w:tc>
          <w:tcPr>
            <w:tcW w:w="7664" w:type="dxa"/>
            <w:tcBorders>
              <w:top w:val="single" w:color="000000" w:sz="8" w:space="0"/>
              <w:left w:val="single" w:color="000000" w:sz="8" w:space="0"/>
              <w:bottom w:val="single" w:color="000000" w:sz="8" w:space="0"/>
              <w:right w:val="single" w:color="000000" w:sz="8" w:space="0"/>
            </w:tcBorders>
            <w:noWrap w:val="0"/>
            <w:vAlign w:val="center"/>
          </w:tcPr>
          <w:p>
            <w:pPr>
              <w:widowControl/>
              <w:numPr>
                <w:ilvl w:val="0"/>
                <w:numId w:val="3"/>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8个RJ45接口，6个10/100M 自适应网线供电口，2个10/100M 自适应级联联网口。</w:t>
            </w:r>
          </w:p>
          <w:p>
            <w:pPr>
              <w:widowControl/>
              <w:numPr>
                <w:ilvl w:val="0"/>
                <w:numId w:val="0"/>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19. 支持6台全数字室内机供电和通讯；</w:t>
            </w:r>
          </w:p>
          <w:p>
            <w:pPr>
              <w:widowControl/>
              <w:numPr>
                <w:ilvl w:val="0"/>
                <w:numId w:val="0"/>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20.级联效量：8个；</w:t>
            </w:r>
          </w:p>
          <w:p>
            <w:pPr>
              <w:widowControl/>
              <w:numPr>
                <w:ilvl w:val="0"/>
                <w:numId w:val="0"/>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21.支持 IEEE802.3、IEEE802.3U、IEEE802.3xi.</w:t>
            </w:r>
          </w:p>
          <w:p>
            <w:pPr>
              <w:widowControl/>
              <w:numPr>
                <w:ilvl w:val="0"/>
                <w:numId w:val="0"/>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22.支持存储和转发交换方式。</w:t>
            </w:r>
          </w:p>
          <w:p>
            <w:pPr>
              <w:widowControl/>
              <w:numPr>
                <w:ilvl w:val="0"/>
                <w:numId w:val="0"/>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23.支持 VLAN 技术。</w:t>
            </w:r>
          </w:p>
          <w:p>
            <w:pPr>
              <w:widowControl/>
              <w:numPr>
                <w:ilvl w:val="0"/>
                <w:numId w:val="0"/>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24.平均无故障时间 MTBF≥10万小时。</w:t>
            </w:r>
          </w:p>
        </w:tc>
        <w:tc>
          <w:tcPr>
            <w:tcW w:w="72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r>
    </w:tbl>
    <w:p>
      <w:pPr>
        <w:numPr>
          <w:ilvl w:val="255"/>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、项目规范要求</w:t>
      </w:r>
    </w:p>
    <w:p>
      <w:pPr>
        <w:numPr>
          <w:ilvl w:val="255"/>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（一）相关法规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入侵探测器系列标准GB 10408.1-9</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《防盗报警控制器通用技术条件》GB 12663-2001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《入侵报警系统工程设计规范》GB 50394-2007</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《民用闭路监视系统工程技术规范》GB 50198-94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《视频安防监控系统工程设计规范》GB 50395-2007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《出人口控制系统工程设计规范》GB 50396-2007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《建筑物电子信息系统防雷技术规范》GB 50343-2004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《安全防范工程技术规范》GB 50348-2004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《防盗报警中心控制台》GB/T 16572-1996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4080510</wp:posOffset>
                </wp:positionH>
                <wp:positionV relativeFrom="paragraph">
                  <wp:posOffset>71120</wp:posOffset>
                </wp:positionV>
                <wp:extent cx="238125" cy="2222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8125" cy="222250"/>
                        </a:xfrm>
                        <a:prstGeom prst="rect">
                          <a:avLst/>
                        </a:prstGeom>
                        <a:noFill/>
                        <a:ln>
                          <a:noFill/>
                        </a:ln>
                      </wps:spPr>
                      <wps:txbx>
                        <w:txbxContent>
                          <w:p>
                            <w:pPr>
                              <w:spacing w:before="4" w:line="240" w:lineRule="auto"/>
                              <w:rPr>
                                <w:rFonts w:ascii="宋体" w:hAnsi="宋体" w:eastAsia="宋体" w:cs="宋体"/>
                                <w:sz w:val="12"/>
                                <w:szCs w:val="12"/>
                              </w:rPr>
                            </w:pPr>
                          </w:p>
                          <w:p>
                            <w:pPr>
                              <w:jc w:val="left"/>
                              <w:rPr>
                                <w:rFonts w:ascii="Times New Roman" w:hAnsi="Times New Roman" w:eastAsia="Times New Roman" w:cs="Times New Roman"/>
                                <w:sz w:val="15"/>
                                <w:szCs w:val="15"/>
                              </w:rPr>
                            </w:pPr>
                            <w:r>
                              <w:rPr>
                                <w:rFonts w:ascii="Times New Roman"/>
                                <w:color w:val="D1B5C3"/>
                                <w:w w:val="90"/>
                                <w:sz w:val="15"/>
                              </w:rPr>
                              <w:t>41</w:t>
                            </w:r>
                          </w:p>
                        </w:txbxContent>
                      </wps:txbx>
                      <wps:bodyPr lIns="0" tIns="0" rIns="0" bIns="0" upright="1"/>
                    </wps:wsp>
                  </a:graphicData>
                </a:graphic>
              </wp:anchor>
            </w:drawing>
          </mc:Choice>
          <mc:Fallback>
            <w:pict>
              <v:shape id="_x0000_s1026" o:spid="_x0000_s1026" o:spt="202" type="#_x0000_t202" style="position:absolute;left:0pt;margin-left:321.3pt;margin-top:5.6pt;height:17.5pt;width:18.75pt;mso-position-horizontal-relative:page;z-index:-251657216;mso-width-relative:page;mso-height-relative:page;" filled="f" stroked="f" coordsize="21600,21600" o:gfxdata="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oan7v1wAAAAkBAAAPAAAAAAAAAAEAIAAAACIAAABkcnMvZG93bnJldi54bWxQSwECFAAU&#10;AAAACACHTuJAIQHgJLkBAABxAwAADgAAAAAAAAABACAAAAAmAQAAZHJzL2Uyb0RvYy54bWxQSwUG&#10;AAAAAAYABgBZAQAAUQUAAAAA&#10;">
                <v:fill on="f" focussize="0,0"/>
                <v:stroke on="f"/>
                <v:imagedata o:title=""/>
                <o:lock v:ext="edit" aspectratio="f"/>
                <v:textbox inset="0mm,0mm,0mm,0mm">
                  <w:txbxContent>
                    <w:p>
                      <w:pPr>
                        <w:spacing w:before="4" w:line="240" w:lineRule="auto"/>
                        <w:rPr>
                          <w:rFonts w:ascii="宋体" w:hAnsi="宋体" w:eastAsia="宋体" w:cs="宋体"/>
                          <w:sz w:val="12"/>
                          <w:szCs w:val="12"/>
                        </w:rPr>
                      </w:pPr>
                    </w:p>
                    <w:p>
                      <w:pPr>
                        <w:jc w:val="left"/>
                        <w:rPr>
                          <w:rFonts w:ascii="Times New Roman" w:hAnsi="Times New Roman" w:eastAsia="Times New Roman" w:cs="Times New Roman"/>
                          <w:sz w:val="15"/>
                          <w:szCs w:val="15"/>
                        </w:rPr>
                      </w:pPr>
                      <w:r>
                        <w:rPr>
                          <w:rFonts w:ascii="Times New Roman"/>
                          <w:color w:val="D1B5C3"/>
                          <w:w w:val="90"/>
                          <w:sz w:val="15"/>
                        </w:rPr>
                        <w:t>41</w:t>
                      </w:r>
                    </w:p>
                  </w:txbxContent>
                </v:textbox>
              </v:shape>
            </w:pict>
          </mc:Fallback>
        </mc:AlternateContent>
      </w:r>
      <w:r>
        <w:rPr>
          <w:rFonts w:hint="eastAsia" w:ascii="宋体" w:hAnsi="宋体" w:eastAsia="宋体" w:cs="宋体"/>
          <w:sz w:val="24"/>
          <w:szCs w:val="24"/>
        </w:rPr>
        <w:t xml:space="preserve">《综合布线系统工程设计规范》GB 50311-2007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《综合布线</w:t>
      </w:r>
      <w:r>
        <w:rPr>
          <w:rFonts w:hint="eastAsia" w:ascii="宋体" w:hAnsi="宋体" w:eastAsia="宋体" w:cs="宋体"/>
          <w:sz w:val="24"/>
          <w:szCs w:val="24"/>
          <w:lang w:val="en-US" w:eastAsia="zh-CN"/>
        </w:rPr>
        <w:t>系统工程验</w:t>
      </w:r>
      <w:r>
        <w:rPr>
          <w:rFonts w:hint="eastAsia" w:ascii="宋体" w:hAnsi="宋体" w:eastAsia="宋体" w:cs="宋体"/>
          <w:sz w:val="24"/>
          <w:szCs w:val="24"/>
        </w:rPr>
        <w:t>收规范》GB/T50312-20</w:t>
      </w:r>
      <w:r>
        <w:rPr>
          <w:rFonts w:hint="eastAsia" w:ascii="宋体" w:hAnsi="宋体" w:eastAsia="宋体" w:cs="宋体"/>
          <w:sz w:val="24"/>
          <w:szCs w:val="24"/>
          <w:lang w:val="en-US" w:eastAsia="zh-CN"/>
        </w:rPr>
        <w:t>16</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《电气装置安装工程接地装置施工及验收规范》GB 50169-2006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《安全防范系统验收规则》GA 308-2001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《安全防范工程费用预算编制办法》GA/T 70-2004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《安全防范系统通用图形符号》 GA/T 74-2000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《安全防范工程程序与要求》 GA/T 75-94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《视频安防监控系统技术要求》GA/T 367-2001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《入侵报警系统技术要求》 GA/T 368-2001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《出入口控制系统技术要求》GA/T 394-2002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《民用建筑电气设计规范》 JGJ/T 16-92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（二）项目要求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项目</w:t>
      </w:r>
      <w:r>
        <w:rPr>
          <w:rFonts w:hint="eastAsia" w:ascii="宋体" w:hAnsi="宋体" w:eastAsia="宋体" w:cs="宋体"/>
          <w:sz w:val="24"/>
          <w:szCs w:val="24"/>
        </w:rPr>
        <w:t>器材品牌为国产且技术指标必须符合最新国家及行业标准（主要器材 技术参数）；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2.所有性能要求和技术要求必须符合最新国家及行业标准；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i w:val="0"/>
          <w:caps w:val="0"/>
          <w:color w:val="auto"/>
          <w:spacing w:val="0"/>
          <w:sz w:val="24"/>
          <w:szCs w:val="24"/>
          <w:shd w:val="clear" w:color="auto" w:fill="FFFFFF"/>
          <w:lang w:val="en-US" w:eastAsia="zh-CN"/>
        </w:rPr>
        <w:t>严格按照《中华人民共和国产品质量法》</w:t>
      </w:r>
      <w:r>
        <w:rPr>
          <w:rFonts w:hint="eastAsia" w:ascii="宋体" w:hAnsi="宋体" w:eastAsia="宋体" w:cs="宋体"/>
          <w:sz w:val="24"/>
          <w:szCs w:val="24"/>
        </w:rPr>
        <w:t>及国家相关规定，保证安防器材和安防设备材料的质量；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4.具有专业的技术及安装施工实施能力、工程中所遇到的技术及施工安全等问题由潜在供应商自行解决；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5.所有</w:t>
      </w:r>
      <w:r>
        <w:rPr>
          <w:rFonts w:hint="eastAsia" w:ascii="宋体" w:hAnsi="宋体" w:eastAsia="宋体" w:cs="宋体"/>
          <w:sz w:val="24"/>
          <w:szCs w:val="24"/>
          <w:lang w:val="en-US" w:eastAsia="zh-CN"/>
        </w:rPr>
        <w:t>设备、器材</w:t>
      </w:r>
      <w:r>
        <w:rPr>
          <w:rFonts w:hint="eastAsia" w:ascii="宋体" w:hAnsi="宋体" w:eastAsia="宋体" w:cs="宋体"/>
          <w:sz w:val="24"/>
          <w:szCs w:val="24"/>
        </w:rPr>
        <w:t>安装必须符合消防规范要求，敷设线路安装需穿入防火镀锌管或装入桥架等；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6.项目实施时不得影响医院正常医疗秩序，施工时间按照采购方要求调整，为此产生的任何费用采购方均不再另行支付。</w:t>
      </w:r>
    </w:p>
    <w:p>
      <w:pPr>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七、合同服务期限</w:t>
      </w:r>
    </w:p>
    <w:p>
      <w:pPr>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自合同签订后，采购方向中标供应商发出进场施工通知</w:t>
      </w:r>
      <w:r>
        <w:rPr>
          <w:rFonts w:hint="eastAsia" w:ascii="宋体" w:hAnsi="宋体" w:eastAsia="宋体" w:cs="宋体"/>
          <w:sz w:val="24"/>
          <w:szCs w:val="24"/>
          <w:shd w:val="clear" w:color="auto" w:fill="FFFFFF"/>
          <w:lang w:val="en-US" w:eastAsia="zh-CN"/>
        </w:rPr>
        <w:t>30</w:t>
      </w:r>
      <w:r>
        <w:rPr>
          <w:rFonts w:hint="eastAsia" w:ascii="宋体" w:hAnsi="宋体" w:eastAsia="宋体" w:cs="宋体"/>
          <w:sz w:val="24"/>
          <w:szCs w:val="24"/>
          <w:shd w:val="clear" w:color="auto" w:fill="FFFFFF"/>
        </w:rPr>
        <w:t>个日历日完工。</w:t>
      </w:r>
    </w:p>
    <w:p>
      <w:pPr>
        <w:spacing w:line="360" w:lineRule="auto"/>
        <w:ind w:firstLine="480" w:firstLineChars="200"/>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八、本采购项目</w:t>
      </w:r>
      <w:r>
        <w:rPr>
          <w:rFonts w:hint="eastAsia" w:ascii="宋体" w:hAnsi="宋体" w:eastAsia="宋体" w:cs="宋体"/>
          <w:b/>
          <w:bCs/>
          <w:sz w:val="24"/>
          <w:szCs w:val="24"/>
          <w:shd w:val="clear" w:color="auto" w:fill="FFFFFF"/>
        </w:rPr>
        <w:t>最高限价为</w:t>
      </w:r>
      <w:r>
        <w:rPr>
          <w:rFonts w:hint="eastAsia" w:ascii="宋体" w:hAnsi="宋体" w:eastAsia="宋体" w:cs="宋体"/>
          <w:b/>
          <w:bCs/>
          <w:sz w:val="24"/>
          <w:szCs w:val="24"/>
          <w:shd w:val="clear" w:color="auto" w:fill="FFFFFF"/>
          <w:lang w:val="en-US" w:eastAsia="zh-CN"/>
        </w:rPr>
        <w:t>24</w:t>
      </w:r>
      <w:r>
        <w:rPr>
          <w:rFonts w:hint="eastAsia" w:ascii="宋体" w:hAnsi="宋体" w:eastAsia="宋体" w:cs="宋体"/>
          <w:b/>
          <w:bCs/>
          <w:sz w:val="24"/>
          <w:szCs w:val="24"/>
          <w:shd w:val="clear" w:color="auto" w:fill="FFFFFF"/>
        </w:rPr>
        <w:t>万元</w:t>
      </w:r>
      <w:r>
        <w:rPr>
          <w:rFonts w:hint="eastAsia" w:ascii="宋体" w:hAnsi="宋体" w:eastAsia="宋体" w:cs="宋体"/>
          <w:sz w:val="24"/>
          <w:szCs w:val="24"/>
          <w:shd w:val="clear" w:color="auto" w:fill="FFFFFF"/>
        </w:rPr>
        <w:t>，超过最高限价的报价为无效投标。按实际</w:t>
      </w:r>
      <w:r>
        <w:rPr>
          <w:rFonts w:hint="eastAsia" w:ascii="宋体" w:hAnsi="宋体" w:eastAsia="宋体" w:cs="宋体"/>
          <w:sz w:val="24"/>
          <w:szCs w:val="24"/>
          <w:shd w:val="clear" w:color="auto" w:fill="FFFFFF"/>
          <w:lang w:val="en-US" w:eastAsia="zh-CN"/>
        </w:rPr>
        <w:t>安装数量</w:t>
      </w:r>
      <w:r>
        <w:rPr>
          <w:rFonts w:hint="eastAsia" w:ascii="宋体" w:hAnsi="宋体" w:eastAsia="宋体" w:cs="宋体"/>
          <w:sz w:val="24"/>
          <w:szCs w:val="24"/>
          <w:shd w:val="clear" w:color="auto" w:fill="FFFFFF"/>
        </w:rPr>
        <w:t>据实支付款项。</w:t>
      </w:r>
      <w:r>
        <w:rPr>
          <w:rFonts w:hint="eastAsia" w:ascii="宋体" w:hAnsi="宋体" w:eastAsia="宋体" w:cs="宋体"/>
          <w:b/>
          <w:bCs/>
          <w:sz w:val="24"/>
          <w:szCs w:val="24"/>
        </w:rPr>
        <w:t>报价包括人工费、材料费、运输费、企业管理费、安装费、税金等</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使项目系统达到正常运行）</w:t>
      </w:r>
      <w:r>
        <w:rPr>
          <w:rFonts w:hint="eastAsia" w:ascii="宋体" w:hAnsi="宋体" w:eastAsia="宋体" w:cs="宋体"/>
          <w:sz w:val="24"/>
          <w:szCs w:val="24"/>
          <w:lang w:val="en-US" w:eastAsia="zh-CN"/>
        </w:rPr>
        <w:t>，</w:t>
      </w:r>
      <w:r>
        <w:rPr>
          <w:rFonts w:hint="eastAsia" w:ascii="宋体" w:hAnsi="宋体" w:eastAsia="宋体" w:cs="宋体"/>
          <w:sz w:val="24"/>
          <w:szCs w:val="24"/>
        </w:rPr>
        <w:t>质保期至少(含）</w:t>
      </w:r>
      <w:r>
        <w:rPr>
          <w:rFonts w:hint="eastAsia" w:ascii="宋体" w:hAnsi="宋体" w:eastAsia="宋体" w:cs="宋体"/>
          <w:sz w:val="24"/>
          <w:szCs w:val="24"/>
          <w:lang w:val="en-US" w:eastAsia="zh-CN"/>
        </w:rPr>
        <w:t>两</w:t>
      </w:r>
      <w:r>
        <w:rPr>
          <w:rFonts w:hint="eastAsia" w:ascii="宋体" w:hAnsi="宋体" w:eastAsia="宋体" w:cs="宋体"/>
          <w:sz w:val="24"/>
          <w:szCs w:val="24"/>
        </w:rPr>
        <w:t>年</w:t>
      </w:r>
      <w:r>
        <w:rPr>
          <w:rFonts w:hint="eastAsia" w:ascii="宋体" w:hAnsi="宋体" w:eastAsia="宋体" w:cs="宋体"/>
          <w:sz w:val="24"/>
          <w:szCs w:val="24"/>
          <w:lang w:eastAsia="zh-CN"/>
        </w:rPr>
        <w:t>。</w:t>
      </w:r>
    </w:p>
    <w:p>
      <w:pPr>
        <w:pStyle w:val="13"/>
        <w:widowControl/>
        <w:shd w:val="clear" w:color="auto" w:fill="FFFFFF"/>
        <w:wordWrap w:val="0"/>
        <w:spacing w:before="0" w:beforeAutospacing="0" w:after="0" w:afterAutospacing="0" w:line="360" w:lineRule="auto"/>
        <w:ind w:firstLine="480"/>
        <w:jc w:val="both"/>
        <w:rPr>
          <w:rFonts w:hint="eastAsia" w:ascii="宋体" w:hAnsi="宋体" w:eastAsia="宋体" w:cs="宋体"/>
          <w:color w:val="333333"/>
          <w:sz w:val="24"/>
          <w:szCs w:val="24"/>
        </w:rPr>
      </w:pPr>
      <w:r>
        <w:rPr>
          <w:rFonts w:hint="eastAsia" w:ascii="宋体" w:hAnsi="宋体" w:eastAsia="宋体" w:cs="宋体"/>
          <w:sz w:val="24"/>
          <w:szCs w:val="24"/>
          <w:shd w:val="clear" w:color="auto" w:fill="FFFFFF"/>
        </w:rPr>
        <w:t>九、</w:t>
      </w:r>
      <w:r>
        <w:rPr>
          <w:rFonts w:hint="eastAsia" w:ascii="宋体" w:hAnsi="宋体" w:eastAsia="宋体" w:cs="宋体"/>
          <w:color w:val="333333"/>
          <w:sz w:val="24"/>
          <w:szCs w:val="24"/>
          <w:shd w:val="clear" w:color="auto" w:fill="FFFFFF"/>
        </w:rPr>
        <w:t>本项目采用综合评分法，评审小组将对各投标人的投标方案、各项报价、企业综合能力、对项目的投入等方面进行综合评审，对实质上响应招标文件的投标人，根据符合采购需求、质量和服务相等且最后得分最高原则确定成交供应商。</w:t>
      </w:r>
    </w:p>
    <w:p>
      <w:pPr>
        <w:pStyle w:val="13"/>
        <w:widowControl/>
        <w:shd w:val="clear" w:color="auto" w:fill="FFFFFF"/>
        <w:wordWrap w:val="0"/>
        <w:spacing w:before="0" w:beforeAutospacing="0" w:after="0" w:afterAutospacing="0" w:line="360" w:lineRule="auto"/>
        <w:ind w:firstLine="480"/>
        <w:jc w:val="both"/>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不正当竞争预防措施：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w:t>
      </w:r>
    </w:p>
    <w:p>
      <w:pPr>
        <w:pStyle w:val="13"/>
        <w:widowControl/>
        <w:shd w:val="clear" w:color="auto" w:fill="FFFFFF"/>
        <w:wordWrap w:val="0"/>
        <w:spacing w:before="0" w:beforeAutospacing="0" w:after="0" w:afterAutospacing="0"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综合评分明细表</w:t>
      </w:r>
    </w:p>
    <w:tbl>
      <w:tblPr>
        <w:tblStyle w:val="16"/>
        <w:tblW w:w="53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437"/>
        <w:gridCol w:w="789"/>
        <w:gridCol w:w="5691"/>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93" w:type="pct"/>
            <w:vAlign w:val="center"/>
          </w:tcPr>
          <w:p>
            <w:pPr>
              <w:widowControl/>
              <w:spacing w:line="340" w:lineRule="exac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序号</w:t>
            </w:r>
          </w:p>
        </w:tc>
        <w:tc>
          <w:tcPr>
            <w:tcW w:w="723" w:type="pct"/>
            <w:vAlign w:val="center"/>
          </w:tcPr>
          <w:p>
            <w:pPr>
              <w:widowControl/>
              <w:spacing w:line="340" w:lineRule="exac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评分</w:t>
            </w:r>
          </w:p>
          <w:p>
            <w:pPr>
              <w:widowControl/>
              <w:spacing w:line="340" w:lineRule="exac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因素</w:t>
            </w:r>
          </w:p>
        </w:tc>
        <w:tc>
          <w:tcPr>
            <w:tcW w:w="397" w:type="pct"/>
            <w:vAlign w:val="center"/>
          </w:tcPr>
          <w:p>
            <w:pPr>
              <w:widowControl/>
              <w:spacing w:line="340" w:lineRule="exac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分值</w:t>
            </w:r>
          </w:p>
        </w:tc>
        <w:tc>
          <w:tcPr>
            <w:tcW w:w="2864" w:type="pct"/>
            <w:vAlign w:val="center"/>
          </w:tcPr>
          <w:p>
            <w:pPr>
              <w:widowControl/>
              <w:spacing w:line="340" w:lineRule="exac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评分标准</w:t>
            </w:r>
          </w:p>
        </w:tc>
        <w:tc>
          <w:tcPr>
            <w:tcW w:w="621" w:type="pct"/>
            <w:vAlign w:val="center"/>
          </w:tcPr>
          <w:p>
            <w:pPr>
              <w:widowControl/>
              <w:spacing w:line="340" w:lineRule="exac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3" w:type="pct"/>
            <w:vAlign w:val="center"/>
          </w:tcPr>
          <w:p>
            <w:pPr>
              <w:widowControl/>
              <w:spacing w:line="340" w:lineRule="exact"/>
              <w:jc w:val="center"/>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1</w:t>
            </w:r>
          </w:p>
        </w:tc>
        <w:tc>
          <w:tcPr>
            <w:tcW w:w="723"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投标</w:t>
            </w:r>
          </w:p>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报价</w:t>
            </w:r>
          </w:p>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w:t>
            </w:r>
          </w:p>
        </w:tc>
        <w:tc>
          <w:tcPr>
            <w:tcW w:w="397" w:type="pct"/>
            <w:vAlign w:val="center"/>
          </w:tcPr>
          <w:p>
            <w:pPr>
              <w:widowControl/>
              <w:spacing w:line="340" w:lineRule="exact"/>
              <w:jc w:val="center"/>
              <w:rPr>
                <w:rFonts w:hint="eastAsia" w:ascii="宋体" w:hAnsi="宋体" w:eastAsia="宋体" w:cs="宋体"/>
                <w:color w:val="333333"/>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2864" w:type="pct"/>
            <w:vAlign w:val="center"/>
          </w:tcPr>
          <w:p>
            <w:pPr>
              <w:widowControl/>
              <w:spacing w:line="340" w:lineRule="exact"/>
              <w:rPr>
                <w:rFonts w:hint="default" w:ascii="宋体" w:hAnsi="宋体" w:eastAsia="宋体" w:cs="宋体"/>
                <w:kern w:val="0"/>
                <w:sz w:val="24"/>
                <w:szCs w:val="24"/>
                <w:lang w:val="en-US" w:eastAsia="zh-CN"/>
              </w:rPr>
            </w:pPr>
            <w:r>
              <w:rPr>
                <w:rFonts w:hint="eastAsia" w:ascii="宋体" w:hAnsi="宋体" w:eastAsia="宋体" w:cs="宋体"/>
                <w:sz w:val="24"/>
                <w:szCs w:val="24"/>
              </w:rPr>
              <w:t>满足招标文件要求且投标报价最低的有效投标报价为评标基准价，</w:t>
            </w:r>
            <w:r>
              <w:rPr>
                <w:rFonts w:hint="eastAsia" w:ascii="宋体" w:hAnsi="宋体" w:cs="宋体"/>
                <w:sz w:val="24"/>
                <w:szCs w:val="24"/>
                <w:lang w:val="en-US" w:eastAsia="zh-CN"/>
              </w:rPr>
              <w:t>其中：“</w:t>
            </w:r>
            <w:r>
              <w:rPr>
                <w:rFonts w:hint="eastAsia" w:ascii="宋体" w:hAnsi="宋体" w:eastAsia="宋体" w:cs="宋体"/>
                <w:i w:val="0"/>
                <w:iCs w:val="0"/>
                <w:color w:val="000000"/>
                <w:sz w:val="24"/>
                <w:szCs w:val="24"/>
                <w:u w:val="none"/>
                <w:lang w:val="en-US" w:eastAsia="zh-CN"/>
              </w:rPr>
              <w:t>可视对讲室内机</w:t>
            </w:r>
            <w:r>
              <w:rPr>
                <w:rFonts w:hint="eastAsia" w:ascii="宋体" w:hAnsi="宋体" w:cs="宋体"/>
                <w:i w:val="0"/>
                <w:iCs w:val="0"/>
                <w:color w:val="000000"/>
                <w:sz w:val="24"/>
                <w:szCs w:val="24"/>
                <w:u w:val="none"/>
                <w:lang w:val="en-US" w:eastAsia="zh-CN"/>
              </w:rPr>
              <w:t>”及“</w:t>
            </w:r>
            <w:r>
              <w:rPr>
                <w:rFonts w:hint="eastAsia" w:ascii="宋体" w:hAnsi="宋体" w:eastAsia="宋体" w:cs="宋体"/>
                <w:i w:val="0"/>
                <w:iCs w:val="0"/>
                <w:color w:val="000000"/>
                <w:kern w:val="0"/>
                <w:sz w:val="24"/>
                <w:szCs w:val="24"/>
                <w:u w:val="none"/>
                <w:lang w:val="en-US" w:eastAsia="zh-CN" w:bidi="ar"/>
              </w:rPr>
              <w:t>可视对讲室外机</w:t>
            </w:r>
            <w:r>
              <w:rPr>
                <w:rFonts w:hint="eastAsia" w:ascii="宋体" w:hAnsi="宋体" w:cs="宋体"/>
                <w:i w:val="0"/>
                <w:iCs w:val="0"/>
                <w:color w:val="000000"/>
                <w:kern w:val="0"/>
                <w:sz w:val="24"/>
                <w:szCs w:val="24"/>
                <w:u w:val="none"/>
                <w:lang w:val="en-US" w:eastAsia="zh-CN" w:bidi="ar"/>
              </w:rPr>
              <w:t>”报价占比80%，</w:t>
            </w:r>
            <w:r>
              <w:rPr>
                <w:rFonts w:hint="eastAsia" w:ascii="宋体" w:hAnsi="宋体" w:eastAsia="宋体" w:cs="宋体"/>
                <w:sz w:val="24"/>
                <w:szCs w:val="24"/>
              </w:rPr>
              <w:t>其投标人的报价分为</w:t>
            </w:r>
            <w:r>
              <w:rPr>
                <w:rFonts w:hint="eastAsia" w:ascii="宋体" w:hAnsi="宋体" w:cs="宋体"/>
                <w:sz w:val="24"/>
                <w:szCs w:val="24"/>
                <w:lang w:val="en-US" w:eastAsia="zh-CN"/>
              </w:rPr>
              <w:t>16</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eastAsia="宋体" w:cs="宋体"/>
                <w:i w:val="0"/>
                <w:iCs w:val="0"/>
                <w:color w:val="000000"/>
                <w:kern w:val="0"/>
                <w:sz w:val="24"/>
                <w:szCs w:val="24"/>
                <w:u w:val="none"/>
                <w:lang w:val="en-US" w:eastAsia="zh-CN" w:bidi="ar"/>
              </w:rPr>
              <w:t>可视对讲解码交换机</w:t>
            </w:r>
            <w:r>
              <w:rPr>
                <w:rFonts w:hint="eastAsia" w:ascii="宋体" w:hAnsi="宋体" w:cs="宋体"/>
                <w:i w:val="0"/>
                <w:iCs w:val="0"/>
                <w:color w:val="000000"/>
                <w:kern w:val="0"/>
                <w:sz w:val="24"/>
                <w:szCs w:val="24"/>
                <w:u w:val="none"/>
                <w:lang w:val="en-US" w:eastAsia="zh-CN" w:bidi="ar"/>
              </w:rPr>
              <w:t>”报价占比20%，其投标人的报价分为4分。</w:t>
            </w:r>
            <w:r>
              <w:rPr>
                <w:rFonts w:hint="eastAsia" w:ascii="宋体" w:hAnsi="宋体" w:eastAsia="宋体" w:cs="宋体"/>
                <w:sz w:val="24"/>
                <w:szCs w:val="24"/>
              </w:rPr>
              <w:t>其他投标人的报价分按以下公式计算：报价得分=(评标基准价／投标报价)×</w:t>
            </w:r>
            <w:r>
              <w:rPr>
                <w:rFonts w:hint="eastAsia" w:ascii="宋体" w:hAnsi="宋体" w:cs="宋体"/>
                <w:sz w:val="24"/>
                <w:szCs w:val="24"/>
                <w:lang w:val="en-US" w:eastAsia="zh-CN"/>
              </w:rPr>
              <w:t>16；</w:t>
            </w:r>
            <w:r>
              <w:rPr>
                <w:rFonts w:hint="eastAsia" w:ascii="宋体" w:hAnsi="宋体" w:eastAsia="宋体" w:cs="宋体"/>
                <w:sz w:val="24"/>
                <w:szCs w:val="24"/>
              </w:rPr>
              <w:t>报价得分=(评标基准价／投标报价)×</w:t>
            </w:r>
            <w:r>
              <w:rPr>
                <w:rFonts w:hint="eastAsia" w:ascii="宋体" w:hAnsi="宋体" w:cs="宋体"/>
                <w:sz w:val="24"/>
                <w:szCs w:val="24"/>
                <w:lang w:val="en-US" w:eastAsia="zh-CN"/>
              </w:rPr>
              <w:t>4。</w:t>
            </w:r>
          </w:p>
        </w:tc>
        <w:tc>
          <w:tcPr>
            <w:tcW w:w="621" w:type="pct"/>
            <w:vAlign w:val="center"/>
          </w:tcPr>
          <w:p>
            <w:pPr>
              <w:spacing w:line="340" w:lineRule="exact"/>
              <w:jc w:val="center"/>
              <w:rPr>
                <w:rFonts w:hint="eastAsia" w:ascii="宋体" w:hAnsi="宋体" w:eastAsia="宋体" w:cs="宋体"/>
                <w:kern w:val="0"/>
                <w:sz w:val="24"/>
                <w:szCs w:val="24"/>
              </w:rPr>
            </w:pPr>
            <w:r>
              <w:rPr>
                <w:rFonts w:hint="eastAsia" w:ascii="宋体" w:hAnsi="宋体" w:eastAsia="宋体" w:cs="宋体"/>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3" w:type="pct"/>
            <w:vAlign w:val="center"/>
          </w:tcPr>
          <w:p>
            <w:pPr>
              <w:widowControl/>
              <w:spacing w:line="3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723"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施工</w:t>
            </w:r>
            <w:r>
              <w:rPr>
                <w:rFonts w:hint="eastAsia" w:ascii="宋体" w:hAnsi="宋体" w:eastAsia="宋体" w:cs="宋体"/>
                <w:sz w:val="24"/>
                <w:szCs w:val="24"/>
              </w:rPr>
              <w:t>方案及</w:t>
            </w:r>
          </w:p>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保障</w:t>
            </w:r>
            <w:r>
              <w:rPr>
                <w:rFonts w:hint="eastAsia" w:ascii="宋体" w:hAnsi="宋体" w:eastAsia="宋体" w:cs="宋体"/>
                <w:sz w:val="24"/>
                <w:szCs w:val="24"/>
              </w:rPr>
              <w:t>措施方案、工程进度</w:t>
            </w:r>
            <w:r>
              <w:rPr>
                <w:rFonts w:hint="eastAsia" w:ascii="宋体" w:hAnsi="宋体" w:eastAsia="宋体" w:cs="宋体"/>
                <w:sz w:val="24"/>
                <w:szCs w:val="24"/>
                <w:lang w:val="en-US" w:eastAsia="zh-CN"/>
              </w:rPr>
              <w:t>30</w:t>
            </w:r>
            <w:r>
              <w:rPr>
                <w:rFonts w:hint="eastAsia" w:ascii="宋体" w:hAnsi="宋体" w:eastAsia="宋体" w:cs="宋体"/>
                <w:sz w:val="24"/>
                <w:szCs w:val="24"/>
              </w:rPr>
              <w:t>%</w:t>
            </w:r>
          </w:p>
        </w:tc>
        <w:tc>
          <w:tcPr>
            <w:tcW w:w="397" w:type="pct"/>
            <w:vAlign w:val="center"/>
          </w:tcPr>
          <w:p>
            <w:pPr>
              <w:widowControl/>
              <w:spacing w:line="3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w:t>
            </w:r>
          </w:p>
        </w:tc>
        <w:tc>
          <w:tcPr>
            <w:tcW w:w="2864" w:type="pct"/>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根据供应商提供的技术方案及主要措施方案进行评审，包括：（1）施工方案；（2）技术措施；（3）确保工程进度计划与措施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安全责任制度和管理措施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包括但不限于</w:t>
            </w:r>
            <w:r>
              <w:rPr>
                <w:rFonts w:hint="eastAsia" w:ascii="宋体" w:hAnsi="宋体" w:eastAsia="宋体" w:cs="宋体"/>
                <w:sz w:val="24"/>
                <w:szCs w:val="24"/>
              </w:rPr>
              <w:t>安全教育和安全培训制度及管理措施</w:t>
            </w:r>
            <w:r>
              <w:rPr>
                <w:rFonts w:hint="eastAsia" w:ascii="宋体" w:hAnsi="宋体" w:eastAsia="宋体" w:cs="宋体"/>
                <w:sz w:val="24"/>
                <w:szCs w:val="24"/>
                <w:lang w:eastAsia="zh-CN"/>
              </w:rPr>
              <w:t>、</w:t>
            </w:r>
            <w:r>
              <w:rPr>
                <w:rFonts w:hint="eastAsia" w:ascii="宋体" w:hAnsi="宋体" w:eastAsia="宋体" w:cs="宋体"/>
                <w:sz w:val="24"/>
                <w:szCs w:val="24"/>
              </w:rPr>
              <w:t>安全规章制度和操作规程</w:t>
            </w:r>
            <w:r>
              <w:rPr>
                <w:rFonts w:hint="eastAsia" w:ascii="宋体" w:hAnsi="宋体" w:eastAsia="宋体" w:cs="宋体"/>
                <w:sz w:val="24"/>
                <w:szCs w:val="24"/>
                <w:lang w:val="en-US" w:eastAsia="zh-CN"/>
              </w:rPr>
              <w:t>及</w:t>
            </w:r>
            <w:r>
              <w:rPr>
                <w:rFonts w:hint="eastAsia" w:ascii="宋体" w:hAnsi="宋体" w:eastAsia="宋体" w:cs="宋体"/>
                <w:sz w:val="24"/>
                <w:szCs w:val="24"/>
              </w:rPr>
              <w:t>作业安全措施和防护措施</w:t>
            </w:r>
            <w:r>
              <w:rPr>
                <w:rFonts w:hint="eastAsia" w:ascii="宋体" w:hAnsi="宋体" w:eastAsia="宋体" w:cs="宋体"/>
                <w:sz w:val="24"/>
                <w:szCs w:val="24"/>
                <w:lang w:val="en-US" w:eastAsia="zh-CN"/>
              </w:rPr>
              <w:t>等</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项目实施过程不影响</w:t>
            </w:r>
            <w:r>
              <w:rPr>
                <w:rFonts w:hint="eastAsia" w:ascii="宋体" w:hAnsi="宋体" w:eastAsia="宋体" w:cs="宋体"/>
                <w:sz w:val="24"/>
                <w:szCs w:val="24"/>
                <w:lang w:val="en-US" w:eastAsia="zh-CN"/>
              </w:rPr>
              <w:t>采购方</w:t>
            </w:r>
            <w:r>
              <w:rPr>
                <w:rFonts w:hint="eastAsia" w:ascii="宋体" w:hAnsi="宋体" w:eastAsia="宋体" w:cs="宋体"/>
                <w:sz w:val="24"/>
                <w:szCs w:val="24"/>
              </w:rPr>
              <w:t>正常工作开展的相关措施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包括但不限于</w:t>
            </w:r>
            <w:r>
              <w:rPr>
                <w:rFonts w:hint="eastAsia" w:ascii="宋体" w:hAnsi="宋体" w:eastAsia="宋体" w:cs="宋体"/>
                <w:sz w:val="24"/>
                <w:szCs w:val="24"/>
              </w:rPr>
              <w:t>项目实施过程中已有成品保护措施</w:t>
            </w:r>
            <w:r>
              <w:rPr>
                <w:rFonts w:hint="eastAsia" w:ascii="宋体" w:hAnsi="宋体" w:eastAsia="宋体" w:cs="宋体"/>
                <w:sz w:val="24"/>
                <w:szCs w:val="24"/>
                <w:lang w:eastAsia="zh-CN"/>
              </w:rPr>
              <w:t>、</w:t>
            </w:r>
            <w:r>
              <w:rPr>
                <w:rFonts w:hint="eastAsia" w:ascii="宋体" w:hAnsi="宋体" w:eastAsia="宋体" w:cs="宋体"/>
                <w:sz w:val="24"/>
                <w:szCs w:val="24"/>
              </w:rPr>
              <w:t>项目实施过程不影响其他区域消防设施正常工作的相关措施</w:t>
            </w:r>
            <w:r>
              <w:rPr>
                <w:rFonts w:hint="eastAsia" w:ascii="宋体" w:hAnsi="宋体" w:eastAsia="宋体" w:cs="宋体"/>
                <w:sz w:val="24"/>
                <w:szCs w:val="24"/>
                <w:lang w:val="en-US" w:eastAsia="zh-CN"/>
              </w:rPr>
              <w:t>及</w:t>
            </w:r>
            <w:r>
              <w:rPr>
                <w:rFonts w:hint="eastAsia" w:ascii="宋体" w:hAnsi="宋体" w:eastAsia="宋体" w:cs="宋体"/>
                <w:sz w:val="24"/>
                <w:szCs w:val="24"/>
              </w:rPr>
              <w:t>联调联试方案及相关措施</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上述</w:t>
            </w:r>
            <w:r>
              <w:rPr>
                <w:rFonts w:hint="eastAsia" w:ascii="宋体" w:hAnsi="宋体" w:eastAsia="宋体" w:cs="宋体"/>
                <w:sz w:val="24"/>
                <w:szCs w:val="24"/>
                <w:lang w:val="en-US" w:eastAsia="zh-CN"/>
              </w:rPr>
              <w:t>5</w:t>
            </w:r>
            <w:r>
              <w:rPr>
                <w:rFonts w:hint="eastAsia" w:ascii="宋体" w:hAnsi="宋体" w:eastAsia="宋体" w:cs="宋体"/>
                <w:sz w:val="24"/>
                <w:szCs w:val="24"/>
              </w:rPr>
              <w:t>项内容齐全且无缺陷（缺陷是指存在项目名称错误、地点区域错误、内容与本项目需求无关、方案内容矛盾或表述前后不一致、仅有框架或标题、适用的标准（方法）错误、明显复制其他项目内容等任意一种情形）得</w:t>
            </w:r>
            <w:r>
              <w:rPr>
                <w:rFonts w:hint="eastAsia" w:ascii="宋体" w:hAnsi="宋体" w:eastAsia="宋体" w:cs="宋体"/>
                <w:sz w:val="24"/>
                <w:szCs w:val="24"/>
                <w:lang w:val="en-US" w:eastAsia="zh-CN"/>
              </w:rPr>
              <w:t>30</w:t>
            </w:r>
            <w:r>
              <w:rPr>
                <w:rFonts w:hint="eastAsia" w:ascii="宋体" w:hAnsi="宋体" w:eastAsia="宋体" w:cs="宋体"/>
                <w:sz w:val="24"/>
                <w:szCs w:val="24"/>
              </w:rPr>
              <w:t xml:space="preserve">分，每缺少一项内容扣 </w:t>
            </w:r>
            <w:r>
              <w:rPr>
                <w:rFonts w:hint="eastAsia" w:ascii="宋体" w:hAnsi="宋体" w:eastAsia="宋体" w:cs="宋体"/>
                <w:sz w:val="24"/>
                <w:szCs w:val="24"/>
                <w:lang w:val="en-US" w:eastAsia="zh-CN"/>
              </w:rPr>
              <w:t>6</w:t>
            </w:r>
            <w:r>
              <w:rPr>
                <w:rFonts w:hint="eastAsia" w:ascii="宋体" w:hAnsi="宋体" w:eastAsia="宋体" w:cs="宋体"/>
                <w:sz w:val="24"/>
                <w:szCs w:val="24"/>
              </w:rPr>
              <w:t>分，扣完为止；单项内容每存在一处缺陷扣</w:t>
            </w:r>
            <w:r>
              <w:rPr>
                <w:rFonts w:hint="eastAsia" w:ascii="宋体" w:hAnsi="宋体" w:eastAsia="宋体" w:cs="宋体"/>
                <w:sz w:val="24"/>
                <w:szCs w:val="24"/>
                <w:lang w:val="en-US" w:eastAsia="zh-CN"/>
              </w:rPr>
              <w:t>3</w:t>
            </w:r>
            <w:r>
              <w:rPr>
                <w:rFonts w:hint="eastAsia" w:ascii="宋体" w:hAnsi="宋体" w:eastAsia="宋体" w:cs="宋体"/>
                <w:sz w:val="24"/>
                <w:szCs w:val="24"/>
              </w:rPr>
              <w:t>分，单项内容分扣完为止。</w:t>
            </w:r>
          </w:p>
        </w:tc>
        <w:tc>
          <w:tcPr>
            <w:tcW w:w="621"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技术</w:t>
            </w:r>
            <w:r>
              <w:rPr>
                <w:rFonts w:hint="eastAsia" w:ascii="宋体" w:hAnsi="宋体" w:eastAsia="宋体" w:cs="宋体"/>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93" w:type="pc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23" w:type="pct"/>
            <w:vAlign w:val="center"/>
          </w:tcPr>
          <w:p>
            <w:pPr>
              <w:widowControl/>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技术、服务要求</w:t>
            </w:r>
            <w:r>
              <w:rPr>
                <w:rFonts w:hint="eastAsia" w:ascii="宋体" w:hAnsi="宋体" w:eastAsia="宋体" w:cs="宋体"/>
                <w:sz w:val="24"/>
                <w:szCs w:val="24"/>
                <w:lang w:val="en-US" w:eastAsia="zh-CN"/>
              </w:rPr>
              <w:t>24</w:t>
            </w:r>
          </w:p>
          <w:p>
            <w:pPr>
              <w:rPr>
                <w:rFonts w:hint="eastAsia" w:ascii="宋体" w:hAnsi="宋体" w:eastAsia="宋体" w:cs="宋体"/>
                <w:sz w:val="24"/>
                <w:szCs w:val="24"/>
              </w:rPr>
            </w:pPr>
          </w:p>
        </w:tc>
        <w:tc>
          <w:tcPr>
            <w:tcW w:w="397" w:type="pct"/>
            <w:vAlign w:val="center"/>
          </w:tcPr>
          <w:p>
            <w:pPr>
              <w:widowControl/>
              <w:spacing w:line="3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24</w:t>
            </w:r>
          </w:p>
        </w:tc>
        <w:tc>
          <w:tcPr>
            <w:tcW w:w="2864" w:type="pct"/>
            <w:vAlign w:val="center"/>
          </w:tcPr>
          <w:p>
            <w:pPr>
              <w:widowControl/>
              <w:spacing w:line="340" w:lineRule="exact"/>
              <w:rPr>
                <w:rFonts w:hint="eastAsia" w:ascii="宋体" w:hAnsi="宋体" w:eastAsia="宋体" w:cs="宋体"/>
                <w:sz w:val="24"/>
                <w:szCs w:val="24"/>
                <w:lang w:val="en-US" w:eastAsia="zh-CN"/>
              </w:rPr>
            </w:pPr>
            <w:r>
              <w:rPr>
                <w:rFonts w:hint="eastAsia" w:ascii="宋体" w:hAnsi="宋体" w:eastAsia="宋体" w:cs="宋体"/>
                <w:sz w:val="24"/>
                <w:szCs w:val="24"/>
                <w:lang w:val="zh-CN" w:eastAsia="en-US"/>
              </w:rPr>
              <w:t>投标人针对招标文件</w:t>
            </w:r>
            <w:r>
              <w:rPr>
                <w:rFonts w:hint="eastAsia" w:ascii="宋体" w:hAnsi="宋体" w:eastAsia="宋体" w:cs="宋体"/>
                <w:sz w:val="24"/>
                <w:szCs w:val="24"/>
                <w:lang w:val="en-US" w:eastAsia="zh-CN"/>
              </w:rPr>
              <w:t>项目种类及技术参数要求</w:t>
            </w:r>
            <w:r>
              <w:rPr>
                <w:rFonts w:hint="eastAsia" w:ascii="宋体" w:hAnsi="宋体" w:eastAsia="宋体" w:cs="宋体"/>
                <w:sz w:val="24"/>
                <w:szCs w:val="24"/>
                <w:lang w:val="zh-CN" w:eastAsia="en-US"/>
              </w:rPr>
              <w:t>条款的响应得分规则如下：</w:t>
            </w:r>
          </w:p>
          <w:p>
            <w:pPr>
              <w:widowControl/>
              <w:spacing w:line="3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供应商全部满足</w:t>
            </w:r>
            <w:r>
              <w:rPr>
                <w:rFonts w:hint="eastAsia" w:ascii="宋体" w:hAnsi="宋体" w:eastAsia="宋体" w:cs="宋体"/>
                <w:sz w:val="24"/>
                <w:szCs w:val="24"/>
                <w:lang w:val="en-US" w:eastAsia="zh-CN"/>
              </w:rPr>
              <w:t>采购项目</w:t>
            </w: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（三）项目参数</w:t>
            </w:r>
          </w:p>
          <w:p>
            <w:pPr>
              <w:widowControl/>
              <w:spacing w:line="340" w:lineRule="exac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”的得</w:t>
            </w:r>
            <w:r>
              <w:rPr>
                <w:rFonts w:hint="eastAsia" w:ascii="宋体" w:hAnsi="宋体" w:eastAsia="宋体" w:cs="宋体"/>
                <w:sz w:val="24"/>
                <w:szCs w:val="24"/>
                <w:lang w:val="en-US" w:eastAsia="zh-CN"/>
              </w:rPr>
              <w:t>24</w:t>
            </w:r>
            <w:r>
              <w:rPr>
                <w:rFonts w:hint="eastAsia" w:ascii="宋体" w:hAnsi="宋体" w:eastAsia="宋体" w:cs="宋体"/>
                <w:sz w:val="24"/>
                <w:szCs w:val="24"/>
                <w:lang w:val="en-US" w:eastAsia="en-US"/>
              </w:rPr>
              <w:t>分。有不满足项的按以下原则扣分：不满足一项扣</w:t>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en-US"/>
              </w:rPr>
              <w:t>分，</w:t>
            </w:r>
            <w:r>
              <w:rPr>
                <w:rFonts w:hint="eastAsia" w:ascii="宋体" w:hAnsi="宋体" w:eastAsia="宋体" w:cs="宋体"/>
                <w:sz w:val="24"/>
                <w:szCs w:val="24"/>
                <w:lang w:val="en-US" w:eastAsia="zh-CN"/>
              </w:rPr>
              <w:t>（共24项）</w:t>
            </w:r>
            <w:r>
              <w:rPr>
                <w:rFonts w:hint="eastAsia" w:ascii="宋体" w:hAnsi="宋体" w:eastAsia="宋体" w:cs="宋体"/>
                <w:sz w:val="24"/>
                <w:szCs w:val="24"/>
                <w:lang w:val="en-US" w:eastAsia="en-US"/>
              </w:rPr>
              <w:t>扣完为止。</w:t>
            </w:r>
          </w:p>
          <w:p>
            <w:pPr>
              <w:widowControl/>
              <w:spacing w:line="340" w:lineRule="exact"/>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en-US"/>
              </w:rPr>
              <w:t>注：以应答</w:t>
            </w:r>
            <w:r>
              <w:rPr>
                <w:rFonts w:hint="eastAsia" w:ascii="宋体" w:hAnsi="宋体" w:eastAsia="宋体" w:cs="宋体"/>
                <w:sz w:val="24"/>
                <w:szCs w:val="24"/>
                <w:lang w:val="en-US" w:eastAsia="zh-CN"/>
              </w:rPr>
              <w:t>投标文件</w:t>
            </w:r>
            <w:r>
              <w:rPr>
                <w:rFonts w:hint="eastAsia" w:ascii="宋体" w:hAnsi="宋体" w:eastAsia="宋体" w:cs="宋体"/>
                <w:sz w:val="24"/>
                <w:szCs w:val="24"/>
                <w:lang w:val="en-US" w:eastAsia="en-US"/>
              </w:rPr>
              <w:t>表响应为准。</w:t>
            </w:r>
          </w:p>
        </w:tc>
        <w:tc>
          <w:tcPr>
            <w:tcW w:w="621" w:type="pct"/>
            <w:vAlign w:val="center"/>
          </w:tcPr>
          <w:p>
            <w:pPr>
              <w:widowControl/>
              <w:spacing w:line="340" w:lineRule="exact"/>
              <w:jc w:val="center"/>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3" w:type="pct"/>
            <w:vAlign w:val="center"/>
          </w:tcPr>
          <w:p>
            <w:pPr>
              <w:widowControl/>
              <w:spacing w:line="340" w:lineRule="exact"/>
              <w:jc w:val="center"/>
              <w:rPr>
                <w:rFonts w:hint="eastAsia" w:ascii="宋体" w:hAnsi="宋体" w:eastAsia="宋体" w:cs="宋体"/>
                <w:color w:val="333333"/>
                <w:kern w:val="0"/>
                <w:sz w:val="24"/>
                <w:szCs w:val="24"/>
                <w:lang w:eastAsia="zh-CN"/>
              </w:rPr>
            </w:pPr>
            <w:r>
              <w:rPr>
                <w:rFonts w:hint="eastAsia" w:ascii="宋体" w:hAnsi="宋体" w:eastAsia="宋体" w:cs="宋体"/>
                <w:color w:val="000000"/>
                <w:kern w:val="0"/>
                <w:sz w:val="24"/>
                <w:szCs w:val="24"/>
                <w:lang w:val="en-US" w:eastAsia="zh-CN"/>
              </w:rPr>
              <w:t>4</w:t>
            </w:r>
          </w:p>
        </w:tc>
        <w:tc>
          <w:tcPr>
            <w:tcW w:w="723"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业绩</w:t>
            </w:r>
          </w:p>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p>
        </w:tc>
        <w:tc>
          <w:tcPr>
            <w:tcW w:w="397"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2864" w:type="pct"/>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1.供应商具有《质量管理体系认证证书》得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分，具有《职业健康安全管理体系认证证书》得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分，具有《环境管理体系认证证书》得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投标人202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年1月1日（含）至递交投标文件截止日具有类似本项目的业绩，每提供1个业绩得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注：①提供销售采购合同或中标通知书或发票复印件加盖投标人公章。</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 xml:space="preserve">②证书须提供复印件及网页截图。 </w:t>
            </w:r>
          </w:p>
        </w:tc>
        <w:tc>
          <w:tcPr>
            <w:tcW w:w="621" w:type="pct"/>
            <w:vAlign w:val="center"/>
          </w:tcPr>
          <w:p>
            <w:pPr>
              <w:spacing w:line="340" w:lineRule="exact"/>
              <w:jc w:val="center"/>
              <w:rPr>
                <w:rFonts w:hint="eastAsia" w:ascii="宋体" w:hAnsi="宋体" w:eastAsia="宋体" w:cs="宋体"/>
                <w:color w:val="000000"/>
                <w:kern w:val="0"/>
                <w:sz w:val="24"/>
                <w:szCs w:val="24"/>
              </w:rPr>
            </w:pPr>
            <w:r>
              <w:rPr>
                <w:rFonts w:hint="eastAsia" w:ascii="宋体" w:hAnsi="宋体" w:eastAsia="宋体" w:cs="宋体"/>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3" w:type="pct"/>
            <w:vAlign w:val="center"/>
          </w:tcPr>
          <w:p>
            <w:pPr>
              <w:widowControl/>
              <w:spacing w:line="34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5</w:t>
            </w:r>
          </w:p>
        </w:tc>
        <w:tc>
          <w:tcPr>
            <w:tcW w:w="723"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配置</w:t>
            </w:r>
            <w:r>
              <w:rPr>
                <w:rFonts w:hint="eastAsia" w:ascii="宋体" w:hAnsi="宋体" w:eastAsia="宋体" w:cs="宋体"/>
                <w:sz w:val="24"/>
                <w:szCs w:val="24"/>
                <w:lang w:val="en-US" w:eastAsia="zh-CN"/>
              </w:rPr>
              <w:t>17</w:t>
            </w:r>
            <w:r>
              <w:rPr>
                <w:rFonts w:hint="eastAsia" w:ascii="宋体" w:hAnsi="宋体" w:eastAsia="宋体" w:cs="宋体"/>
                <w:sz w:val="24"/>
                <w:szCs w:val="24"/>
              </w:rPr>
              <w:t>%</w:t>
            </w:r>
          </w:p>
        </w:tc>
        <w:tc>
          <w:tcPr>
            <w:tcW w:w="397"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17</w:t>
            </w:r>
          </w:p>
        </w:tc>
        <w:tc>
          <w:tcPr>
            <w:tcW w:w="2864" w:type="pct"/>
            <w:vAlign w:val="center"/>
          </w:tcPr>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项目负责人具有机电工程专业建造师执业资格，或者</w:t>
            </w:r>
            <w:r>
              <w:rPr>
                <w:rFonts w:hint="eastAsia" w:ascii="宋体" w:hAnsi="宋体" w:eastAsia="宋体" w:cs="宋体"/>
                <w:sz w:val="24"/>
                <w:szCs w:val="24"/>
                <w:highlight w:val="none"/>
                <w:lang w:val="en-US" w:eastAsia="zh-CN"/>
              </w:rPr>
              <w:t>取得</w:t>
            </w:r>
            <w:r>
              <w:rPr>
                <w:rFonts w:hint="eastAsia" w:ascii="宋体" w:hAnsi="宋体" w:eastAsia="宋体" w:cs="宋体"/>
                <w:sz w:val="24"/>
                <w:szCs w:val="24"/>
                <w:highlight w:val="none"/>
              </w:rPr>
              <w:t>一级注册消防工程师证书</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本单项最多得4分</w:t>
            </w:r>
            <w:r>
              <w:rPr>
                <w:rFonts w:hint="eastAsia" w:ascii="宋体" w:hAnsi="宋体" w:eastAsia="宋体" w:cs="宋体"/>
                <w:sz w:val="24"/>
                <w:szCs w:val="24"/>
                <w:highlight w:val="none"/>
              </w:rPr>
              <w:t>；</w:t>
            </w:r>
          </w:p>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技术负责人</w:t>
            </w:r>
            <w:r>
              <w:rPr>
                <w:rFonts w:hint="eastAsia" w:ascii="宋体" w:hAnsi="宋体" w:eastAsia="宋体" w:cs="宋体"/>
                <w:sz w:val="24"/>
                <w:szCs w:val="24"/>
                <w:highlight w:val="none"/>
                <w:lang w:val="en-US" w:eastAsia="zh-CN"/>
              </w:rPr>
              <w:t>取得</w:t>
            </w:r>
            <w:r>
              <w:rPr>
                <w:rFonts w:hint="eastAsia" w:ascii="宋体" w:hAnsi="宋体" w:eastAsia="宋体" w:cs="宋体"/>
                <w:sz w:val="24"/>
                <w:szCs w:val="24"/>
                <w:highlight w:val="none"/>
              </w:rPr>
              <w:t>中级工程师（机电工程专业）及以上证书，或者</w:t>
            </w:r>
            <w:r>
              <w:rPr>
                <w:rFonts w:hint="eastAsia" w:ascii="宋体" w:hAnsi="宋体" w:eastAsia="宋体" w:cs="宋体"/>
                <w:sz w:val="24"/>
                <w:szCs w:val="24"/>
                <w:highlight w:val="none"/>
                <w:lang w:val="en-US" w:eastAsia="zh-CN"/>
              </w:rPr>
              <w:t>取得</w:t>
            </w:r>
            <w:r>
              <w:rPr>
                <w:rStyle w:val="20"/>
                <w:rFonts w:hint="eastAsia" w:ascii="宋体" w:hAnsi="宋体" w:eastAsia="宋体" w:cs="宋体"/>
                <w:sz w:val="24"/>
                <w:szCs w:val="24"/>
                <w:highlight w:val="none"/>
              </w:rPr>
              <w:t>二级</w:t>
            </w:r>
            <w:r>
              <w:rPr>
                <w:rFonts w:hint="eastAsia" w:ascii="宋体" w:hAnsi="宋体" w:eastAsia="宋体" w:cs="宋体"/>
                <w:sz w:val="24"/>
                <w:szCs w:val="24"/>
                <w:highlight w:val="none"/>
              </w:rPr>
              <w:t>注册消防工程师证书</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本单项最多得3分</w:t>
            </w:r>
            <w:r>
              <w:rPr>
                <w:rFonts w:hint="eastAsia" w:ascii="宋体" w:hAnsi="宋体" w:eastAsia="宋体" w:cs="宋体"/>
                <w:sz w:val="24"/>
                <w:szCs w:val="24"/>
                <w:highlight w:val="none"/>
              </w:rPr>
              <w:t>；</w:t>
            </w:r>
          </w:p>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项目其他成员</w:t>
            </w:r>
            <w:r>
              <w:rPr>
                <w:rFonts w:hint="eastAsia" w:ascii="宋体" w:hAnsi="宋体" w:eastAsia="宋体" w:cs="宋体"/>
                <w:sz w:val="24"/>
                <w:szCs w:val="24"/>
                <w:highlight w:val="none"/>
                <w:lang w:val="en-US" w:eastAsia="zh-CN"/>
              </w:rPr>
              <w:t>持有</w:t>
            </w:r>
            <w:r>
              <w:rPr>
                <w:rFonts w:hint="eastAsia" w:ascii="宋体" w:hAnsi="宋体" w:eastAsia="宋体" w:cs="宋体"/>
                <w:sz w:val="24"/>
                <w:szCs w:val="24"/>
                <w:highlight w:val="none"/>
              </w:rPr>
              <w:t>相应上岗证书，如，施工员、质检员、安全员、材料员，</w:t>
            </w:r>
            <w:r>
              <w:rPr>
                <w:rFonts w:hint="eastAsia" w:ascii="宋体" w:hAnsi="宋体" w:eastAsia="宋体" w:cs="宋体"/>
                <w:sz w:val="24"/>
                <w:szCs w:val="24"/>
                <w:highlight w:val="none"/>
                <w:lang w:val="en-US" w:eastAsia="zh-CN"/>
              </w:rPr>
              <w:t>低压电工</w:t>
            </w:r>
            <w:r>
              <w:rPr>
                <w:rFonts w:hint="eastAsia" w:ascii="宋体" w:hAnsi="宋体" w:eastAsia="宋体" w:cs="宋体"/>
                <w:sz w:val="24"/>
                <w:szCs w:val="24"/>
                <w:highlight w:val="none"/>
              </w:rPr>
              <w:t>每提供一个工种证书得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分，同一工种证书重复提供证不得分；</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sz w:val="24"/>
                <w:szCs w:val="24"/>
                <w:highlight w:val="none"/>
              </w:rPr>
              <w:t>本单项最多得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pPr>
              <w:widowControl/>
              <w:spacing w:line="340" w:lineRule="exact"/>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上述</w:t>
            </w:r>
            <w:r>
              <w:rPr>
                <w:rFonts w:hint="eastAsia" w:ascii="宋体" w:hAnsi="宋体" w:eastAsia="宋体" w:cs="宋体"/>
                <w:sz w:val="24"/>
                <w:szCs w:val="24"/>
                <w:highlight w:val="none"/>
              </w:rPr>
              <w:t>证书</w:t>
            </w:r>
            <w:r>
              <w:rPr>
                <w:rFonts w:hint="eastAsia" w:ascii="宋体" w:hAnsi="宋体" w:eastAsia="宋体" w:cs="宋体"/>
                <w:sz w:val="24"/>
                <w:szCs w:val="24"/>
                <w:highlight w:val="none"/>
                <w:lang w:val="en-US" w:eastAsia="zh-CN"/>
              </w:rPr>
              <w:t>均</w:t>
            </w:r>
            <w:r>
              <w:rPr>
                <w:rFonts w:hint="eastAsia" w:ascii="宋体" w:hAnsi="宋体" w:eastAsia="宋体" w:cs="宋体"/>
                <w:sz w:val="24"/>
                <w:szCs w:val="24"/>
                <w:highlight w:val="none"/>
              </w:rPr>
              <w:t>须提供复印件及</w:t>
            </w:r>
            <w:r>
              <w:rPr>
                <w:rFonts w:hint="eastAsia" w:ascii="宋体" w:hAnsi="宋体" w:eastAsia="宋体" w:cs="宋体"/>
                <w:sz w:val="24"/>
                <w:szCs w:val="24"/>
                <w:highlight w:val="none"/>
                <w:lang w:val="en-US" w:eastAsia="zh-CN"/>
              </w:rPr>
              <w:t>其</w:t>
            </w:r>
            <w:r>
              <w:rPr>
                <w:rFonts w:hint="eastAsia" w:ascii="宋体" w:hAnsi="宋体" w:eastAsia="宋体" w:cs="宋体"/>
                <w:sz w:val="24"/>
                <w:szCs w:val="24"/>
                <w:highlight w:val="none"/>
              </w:rPr>
              <w:t>与供应商的劳动合同。</w:t>
            </w:r>
            <w:r>
              <w:rPr>
                <w:rFonts w:hint="eastAsia" w:ascii="宋体" w:hAnsi="宋体" w:eastAsia="宋体" w:cs="宋体"/>
                <w:sz w:val="24"/>
                <w:szCs w:val="24"/>
                <w:highlight w:val="none"/>
                <w:lang w:val="en-US" w:eastAsia="zh-CN"/>
              </w:rPr>
              <w:t>投标人资质须提供复印件并盖公章。</w:t>
            </w:r>
          </w:p>
        </w:tc>
        <w:tc>
          <w:tcPr>
            <w:tcW w:w="621" w:type="pct"/>
            <w:vAlign w:val="center"/>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3" w:type="pct"/>
            <w:vAlign w:val="center"/>
          </w:tcPr>
          <w:p>
            <w:pPr>
              <w:widowControl/>
              <w:spacing w:line="34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w:t>
            </w:r>
          </w:p>
        </w:tc>
        <w:tc>
          <w:tcPr>
            <w:tcW w:w="723"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质保期服务承诺</w:t>
            </w:r>
            <w:r>
              <w:rPr>
                <w:rFonts w:hint="eastAsia" w:ascii="宋体" w:hAnsi="宋体" w:eastAsia="宋体" w:cs="宋体"/>
                <w:sz w:val="24"/>
                <w:szCs w:val="24"/>
                <w:lang w:val="en-US" w:eastAsia="zh-CN"/>
              </w:rPr>
              <w:t>3</w:t>
            </w:r>
            <w:r>
              <w:rPr>
                <w:rFonts w:hint="eastAsia" w:ascii="宋体" w:hAnsi="宋体" w:eastAsia="宋体" w:cs="宋体"/>
                <w:sz w:val="24"/>
                <w:szCs w:val="24"/>
              </w:rPr>
              <w:t>%</w:t>
            </w:r>
          </w:p>
        </w:tc>
        <w:tc>
          <w:tcPr>
            <w:tcW w:w="397"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2864" w:type="pct"/>
            <w:vAlign w:val="center"/>
          </w:tcPr>
          <w:p>
            <w:pPr>
              <w:widowControl/>
              <w:spacing w:line="340" w:lineRule="exact"/>
              <w:rPr>
                <w:rFonts w:hint="eastAsia" w:ascii="宋体" w:hAnsi="宋体" w:eastAsia="宋体" w:cs="宋体"/>
                <w:sz w:val="24"/>
                <w:szCs w:val="24"/>
                <w:lang w:val="en-US" w:eastAsia="zh-CN"/>
              </w:rPr>
            </w:pPr>
            <w:r>
              <w:rPr>
                <w:rFonts w:hint="eastAsia" w:ascii="宋体" w:hAnsi="宋体" w:eastAsia="宋体" w:cs="宋体"/>
                <w:sz w:val="24"/>
                <w:szCs w:val="24"/>
              </w:rPr>
              <w:t>承诺在接到故障处理通知后31-60分钟内赶到现场开展处理工作的得</w:t>
            </w:r>
            <w:r>
              <w:rPr>
                <w:rFonts w:hint="eastAsia" w:ascii="宋体" w:hAnsi="宋体" w:eastAsia="宋体" w:cs="宋体"/>
                <w:sz w:val="24"/>
                <w:szCs w:val="24"/>
                <w:lang w:val="en-US" w:eastAsia="zh-CN"/>
              </w:rPr>
              <w:t>1.5</w:t>
            </w:r>
            <w:r>
              <w:rPr>
                <w:rFonts w:hint="eastAsia" w:ascii="宋体" w:hAnsi="宋体" w:eastAsia="宋体" w:cs="宋体"/>
                <w:sz w:val="24"/>
                <w:szCs w:val="24"/>
              </w:rPr>
              <w:t>分；承诺1-30分钟内赶到现场开展处理工作的得</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分；没有</w:t>
            </w:r>
            <w:r>
              <w:rPr>
                <w:rFonts w:hint="eastAsia" w:ascii="宋体" w:hAnsi="宋体" w:eastAsia="宋体" w:cs="宋体"/>
                <w:sz w:val="24"/>
                <w:szCs w:val="24"/>
                <w:lang w:val="en-US" w:eastAsia="zh-CN"/>
              </w:rPr>
              <w:t>承诺</w:t>
            </w:r>
            <w:r>
              <w:rPr>
                <w:rFonts w:hint="eastAsia" w:ascii="宋体" w:hAnsi="宋体" w:eastAsia="宋体" w:cs="宋体"/>
                <w:sz w:val="24"/>
                <w:szCs w:val="24"/>
              </w:rPr>
              <w:t>不得分。</w:t>
            </w:r>
            <w:r>
              <w:rPr>
                <w:rFonts w:hint="eastAsia" w:ascii="宋体" w:hAnsi="宋体" w:eastAsia="宋体" w:cs="宋体"/>
                <w:sz w:val="24"/>
                <w:szCs w:val="24"/>
                <w:lang w:val="en-US" w:eastAsia="zh-CN"/>
              </w:rPr>
              <w:t>本项最多得3分。</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提供承诺函原件并加盖供应商公章。</w:t>
            </w:r>
          </w:p>
        </w:tc>
        <w:tc>
          <w:tcPr>
            <w:tcW w:w="621" w:type="pct"/>
            <w:vAlign w:val="center"/>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共同评审因素</w:t>
            </w:r>
          </w:p>
        </w:tc>
      </w:tr>
    </w:tbl>
    <w:p>
      <w:pPr>
        <w:numPr>
          <w:ilvl w:val="0"/>
          <w:numId w:val="0"/>
        </w:num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本次竞争性磋商要求报价均为含税价</w:t>
      </w:r>
      <w:r>
        <w:rPr>
          <w:rFonts w:hint="eastAsia" w:ascii="宋体" w:hAnsi="宋体" w:eastAsia="宋体" w:cs="宋体"/>
          <w:b/>
          <w:bCs/>
          <w:color w:val="auto"/>
          <w:sz w:val="24"/>
          <w:szCs w:val="24"/>
          <w:lang w:eastAsia="zh-CN"/>
        </w:rPr>
        <w:t>。</w:t>
      </w:r>
    </w:p>
    <w:p>
      <w:pPr>
        <w:numPr>
          <w:ilvl w:val="0"/>
          <w:numId w:val="0"/>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2.</w:t>
      </w:r>
      <w:r>
        <w:rPr>
          <w:rFonts w:hint="eastAsia" w:ascii="宋体" w:hAnsi="宋体" w:eastAsia="宋体" w:cs="宋体"/>
          <w:b/>
          <w:bCs/>
          <w:color w:val="auto"/>
          <w:sz w:val="24"/>
          <w:szCs w:val="24"/>
        </w:rPr>
        <w:t>评分的取值按四舍五入法，保留小数点后两位。</w:t>
      </w:r>
    </w:p>
    <w:p>
      <w:pPr>
        <w:numPr>
          <w:ilvl w:val="0"/>
          <w:numId w:val="0"/>
        </w:numPr>
        <w:spacing w:line="360" w:lineRule="auto"/>
        <w:ind w:firstLine="964" w:firstLineChars="4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3.破坏原装修需恢复原状。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、保密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凡属于与本次竞争性磋商所有相关的资料和信息，各</w:t>
      </w:r>
      <w:r>
        <w:rPr>
          <w:rFonts w:hint="eastAsia" w:ascii="宋体" w:hAnsi="宋体" w:eastAsia="宋体" w:cs="宋体"/>
          <w:color w:val="auto"/>
          <w:sz w:val="24"/>
          <w:szCs w:val="24"/>
          <w:lang w:val="en-US" w:eastAsia="zh-CN"/>
        </w:rPr>
        <w:t>参会</w:t>
      </w:r>
      <w:r>
        <w:rPr>
          <w:rFonts w:hint="eastAsia" w:ascii="宋体" w:hAnsi="宋体" w:eastAsia="宋体" w:cs="宋体"/>
          <w:color w:val="auto"/>
          <w:sz w:val="24"/>
          <w:szCs w:val="24"/>
        </w:rPr>
        <w:t>磋商人在任何</w:t>
      </w:r>
      <w:r>
        <w:rPr>
          <w:rFonts w:hint="eastAsia" w:ascii="宋体" w:hAnsi="宋体" w:eastAsia="宋体" w:cs="宋体"/>
          <w:color w:val="auto"/>
          <w:sz w:val="24"/>
          <w:szCs w:val="24"/>
          <w:lang w:val="en-US" w:eastAsia="zh-CN"/>
        </w:rPr>
        <w:t>情况下</w:t>
      </w:r>
      <w:r>
        <w:rPr>
          <w:rFonts w:hint="eastAsia" w:ascii="宋体" w:hAnsi="宋体" w:eastAsia="宋体" w:cs="宋体"/>
          <w:color w:val="auto"/>
          <w:sz w:val="24"/>
          <w:szCs w:val="24"/>
        </w:rPr>
        <w:t>均不得向任何第三方泄露。</w:t>
      </w:r>
    </w:p>
    <w:p>
      <w:pPr>
        <w:pStyle w:val="13"/>
        <w:widowControl/>
        <w:numPr>
          <w:ilvl w:val="0"/>
          <w:numId w:val="0"/>
        </w:numPr>
        <w:shd w:val="clear" w:color="auto" w:fill="FFFFFF"/>
        <w:wordWrap w:val="0"/>
        <w:spacing w:before="0" w:beforeAutospacing="0" w:after="0" w:afterAutospacing="0" w:line="360" w:lineRule="auto"/>
        <w:ind w:leftChars="0" w:right="0" w:rightChars="0"/>
        <w:jc w:val="both"/>
        <w:rPr>
          <w:rFonts w:hint="eastAsia" w:ascii="宋体" w:hAnsi="宋体" w:eastAsia="宋体" w:cs="宋体"/>
          <w:b/>
          <w:bCs/>
          <w:color w:val="auto"/>
          <w:sz w:val="24"/>
          <w:szCs w:val="24"/>
          <w:lang w:val="en-US" w:eastAsia="zh-CN"/>
        </w:rPr>
      </w:pPr>
    </w:p>
    <w:p>
      <w:pPr>
        <w:pStyle w:val="13"/>
        <w:widowControl/>
        <w:numPr>
          <w:ilvl w:val="0"/>
          <w:numId w:val="0"/>
        </w:numPr>
        <w:shd w:val="clear" w:color="auto" w:fill="FFFFFF"/>
        <w:wordWrap w:val="0"/>
        <w:spacing w:before="0" w:beforeAutospacing="0" w:after="0" w:afterAutospacing="0" w:line="360" w:lineRule="auto"/>
        <w:ind w:leftChars="0" w:right="0" w:rightChars="0"/>
        <w:jc w:val="both"/>
        <w:rPr>
          <w:rFonts w:hint="eastAsia" w:ascii="宋体" w:hAnsi="宋体" w:eastAsia="宋体" w:cs="宋体"/>
          <w:b/>
          <w:bCs/>
          <w:color w:val="auto"/>
          <w:sz w:val="24"/>
          <w:szCs w:val="24"/>
          <w:lang w:val="en-US" w:eastAsia="zh-CN"/>
        </w:rPr>
      </w:pPr>
    </w:p>
    <w:p>
      <w:pPr>
        <w:pStyle w:val="13"/>
        <w:widowControl/>
        <w:numPr>
          <w:ilvl w:val="0"/>
          <w:numId w:val="0"/>
        </w:numPr>
        <w:shd w:val="clear" w:color="auto" w:fill="FFFFFF"/>
        <w:wordWrap w:val="0"/>
        <w:spacing w:before="0" w:beforeAutospacing="0" w:after="0" w:afterAutospacing="0" w:line="360" w:lineRule="auto"/>
        <w:ind w:leftChars="0" w:right="0" w:rightChars="0"/>
        <w:jc w:val="both"/>
        <w:rPr>
          <w:rFonts w:hint="eastAsia" w:ascii="宋体" w:hAnsi="宋体" w:eastAsia="宋体" w:cs="宋体"/>
          <w:b/>
          <w:bCs/>
          <w:color w:val="auto"/>
          <w:sz w:val="24"/>
          <w:szCs w:val="24"/>
          <w:lang w:val="en-US" w:eastAsia="zh-CN"/>
        </w:rPr>
      </w:pPr>
    </w:p>
    <w:p>
      <w:pPr>
        <w:rPr>
          <w:rFonts w:hint="eastAsia" w:ascii="宋体" w:hAnsi="宋体" w:eastAsia="宋体" w:cs="宋体"/>
          <w:color w:val="auto"/>
          <w:sz w:val="24"/>
          <w:szCs w:val="24"/>
          <w:highlight w:val="none"/>
          <w:lang w:val="en-US" w:eastAsia="zh-CN"/>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rPr>
        <w:t>附件2 主要表格</w:t>
      </w:r>
    </w:p>
    <w:p>
      <w:pPr>
        <w:snapToGrid w:val="0"/>
        <w:spacing w:line="360" w:lineRule="auto"/>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2-1</w:t>
      </w:r>
    </w:p>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rPr>
        <w:t>XXX</w:t>
      </w:r>
      <w:r>
        <w:rPr>
          <w:rFonts w:hint="eastAsia" w:ascii="宋体" w:hAnsi="宋体" w:eastAsia="宋体" w:cs="宋体"/>
          <w:kern w:val="0"/>
          <w:sz w:val="24"/>
          <w:szCs w:val="24"/>
          <w:highlight w:val="none"/>
        </w:rPr>
        <w:t>采购项目报价一览表</w:t>
      </w:r>
    </w:p>
    <w:tbl>
      <w:tblPr>
        <w:tblStyle w:val="16"/>
        <w:tblpPr w:leftFromText="180" w:rightFromText="180" w:vertAnchor="text" w:horzAnchor="page" w:tblpX="1772" w:tblpY="941"/>
        <w:tblOverlap w:val="never"/>
        <w:tblW w:w="85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043"/>
        <w:gridCol w:w="1043"/>
        <w:gridCol w:w="1043"/>
        <w:gridCol w:w="1556"/>
        <w:gridCol w:w="2090"/>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52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43"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043"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1043"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155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 xml:space="preserve"> 单价（元/台）</w:t>
            </w:r>
          </w:p>
        </w:tc>
        <w:tc>
          <w:tcPr>
            <w:tcW w:w="209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技术参数</w:t>
            </w:r>
          </w:p>
        </w:tc>
        <w:tc>
          <w:tcPr>
            <w:tcW w:w="1208"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可视对讲室内机</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可视对讲室外机</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6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合计（含税）：</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85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960" w:firstLineChars="4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大写金额：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可视对讲解码交换机</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p>
            <w:pPr>
              <w:bidi w:val="0"/>
              <w:jc w:val="left"/>
              <w:rPr>
                <w:rFonts w:hint="eastAsia" w:asciiTheme="minorHAnsi" w:hAnsiTheme="minorHAnsi" w:eastAsiaTheme="minorEastAsia" w:cstheme="minorBidi"/>
                <w:kern w:val="2"/>
                <w:sz w:val="21"/>
                <w:szCs w:val="24"/>
                <w:lang w:val="en-US" w:eastAsia="zh-CN" w:bidi="ar-SA"/>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36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合计（含税）：</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5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1200" w:firstLineChars="5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大写金额：  </w:t>
            </w:r>
          </w:p>
        </w:tc>
      </w:tr>
    </w:tbl>
    <w:p>
      <w:pPr>
        <w:rPr>
          <w:rFonts w:hint="eastAsia"/>
        </w:rPr>
      </w:pPr>
    </w:p>
    <w:p>
      <w:pPr>
        <w:pStyle w:val="4"/>
        <w:rPr>
          <w:rFonts w:hint="eastAsia"/>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b/>
          <w:bCs/>
          <w:kern w:val="0"/>
          <w:sz w:val="24"/>
          <w:szCs w:val="24"/>
        </w:rPr>
        <w:t>注：</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kern w:val="0"/>
          <w:sz w:val="24"/>
          <w:szCs w:val="24"/>
        </w:rPr>
        <w:t>1.“报价一览表”为多页的，每页均需由法定代表人或授权代表签字并盖投标人印章。</w:t>
      </w:r>
    </w:p>
    <w:p>
      <w:pPr>
        <w:widowControl/>
        <w:numPr>
          <w:ilvl w:val="0"/>
          <w:numId w:val="0"/>
        </w:numPr>
        <w:spacing w:line="360" w:lineRule="auto"/>
        <w:ind w:leftChars="0"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firstLine="720" w:firstLineChars="300"/>
        <w:jc w:val="left"/>
        <w:textAlignment w:val="auto"/>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rPr>
        <w:t>3</w:t>
      </w:r>
      <w:r>
        <w:rPr>
          <w:rFonts w:hint="eastAsia" w:ascii="宋体" w:hAnsi="宋体" w:eastAsia="宋体" w:cs="宋体"/>
          <w:b/>
          <w:bCs/>
          <w:kern w:val="0"/>
          <w:sz w:val="24"/>
          <w:szCs w:val="24"/>
          <w:lang w:val="en-US" w:eastAsia="zh-CN"/>
        </w:rPr>
        <w:t>.</w:t>
      </w:r>
      <w:r>
        <w:rPr>
          <w:rFonts w:hint="eastAsia" w:ascii="宋体" w:hAnsi="宋体" w:eastAsia="宋体" w:cs="宋体"/>
          <w:color w:val="auto"/>
          <w:kern w:val="0"/>
          <w:sz w:val="24"/>
          <w:szCs w:val="24"/>
          <w:highlight w:val="none"/>
        </w:rPr>
        <w:t>报价应含税，</w:t>
      </w:r>
      <w:r>
        <w:rPr>
          <w:rFonts w:hint="eastAsia" w:ascii="宋体" w:hAnsi="宋体" w:eastAsia="宋体" w:cs="宋体"/>
          <w:b w:val="0"/>
          <w:bCs w:val="0"/>
          <w:sz w:val="24"/>
          <w:szCs w:val="24"/>
        </w:rPr>
        <w:t>人工费、材料费、企业管理费、</w:t>
      </w:r>
      <w:r>
        <w:rPr>
          <w:rFonts w:hint="eastAsia" w:ascii="宋体" w:hAnsi="宋体" w:eastAsia="宋体" w:cs="宋体"/>
          <w:color w:val="auto"/>
          <w:kern w:val="0"/>
          <w:sz w:val="24"/>
          <w:szCs w:val="24"/>
          <w:highlight w:val="none"/>
        </w:rPr>
        <w:t>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r>
        <w:rPr>
          <w:rFonts w:hint="eastAsia" w:ascii="宋体" w:hAnsi="宋体" w:cs="宋体"/>
          <w:color w:val="auto"/>
          <w:kern w:val="0"/>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8"/>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23"/>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b/>
          <w:bCs/>
          <w:color w:val="auto"/>
          <w:sz w:val="24"/>
          <w:szCs w:val="24"/>
          <w:highlight w:val="none"/>
          <w:lang w:val="en-US" w:eastAsia="zh-CN"/>
        </w:rPr>
      </w:pPr>
    </w:p>
    <w:p>
      <w:pPr>
        <w:pStyle w:val="23"/>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3"/>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 </w:t>
      </w:r>
    </w:p>
    <w:p>
      <w:pPr>
        <w:pStyle w:val="13"/>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pPr>
        <w:pStyle w:val="13"/>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6"/>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若磋商文件中有要求提供证明材料的技术条款应当在此表中列出并应答。</w:t>
      </w:r>
    </w:p>
    <w:p>
      <w:pPr>
        <w:pStyle w:val="13"/>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5"/>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rPr>
          <w:rFonts w:hint="eastAsia"/>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78CFE"/>
    <w:multiLevelType w:val="singleLevel"/>
    <w:tmpl w:val="8BA78CFE"/>
    <w:lvl w:ilvl="0" w:tentative="0">
      <w:start w:val="9"/>
      <w:numFmt w:val="decimal"/>
      <w:lvlText w:val="%1."/>
      <w:lvlJc w:val="left"/>
      <w:pPr>
        <w:tabs>
          <w:tab w:val="left" w:pos="312"/>
        </w:tabs>
      </w:p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DBC21A26"/>
    <w:multiLevelType w:val="singleLevel"/>
    <w:tmpl w:val="DBC21A26"/>
    <w:lvl w:ilvl="0" w:tentative="0">
      <w:start w:val="18"/>
      <w:numFmt w:val="decimal"/>
      <w:suff w:val="space"/>
      <w:lvlText w:val="%1."/>
      <w:lvlJc w:val="left"/>
    </w:lvl>
  </w:abstractNum>
  <w:abstractNum w:abstractNumId="3">
    <w:nsid w:val="E66A6062"/>
    <w:multiLevelType w:val="singleLevel"/>
    <w:tmpl w:val="E66A6062"/>
    <w:lvl w:ilvl="0" w:tentative="0">
      <w:start w:val="1"/>
      <w:numFmt w:val="decimal"/>
      <w:lvlText w:val="%1."/>
      <w:lvlJc w:val="left"/>
      <w:pPr>
        <w:tabs>
          <w:tab w:val="left" w:pos="312"/>
        </w:tabs>
      </w:pPr>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737527"/>
    <w:rsid w:val="00984987"/>
    <w:rsid w:val="01582E9F"/>
    <w:rsid w:val="022561DB"/>
    <w:rsid w:val="023A21DA"/>
    <w:rsid w:val="024B5F91"/>
    <w:rsid w:val="02592AC5"/>
    <w:rsid w:val="02E53A75"/>
    <w:rsid w:val="03C142B6"/>
    <w:rsid w:val="0423435A"/>
    <w:rsid w:val="04831DF5"/>
    <w:rsid w:val="04A6582D"/>
    <w:rsid w:val="04C176DC"/>
    <w:rsid w:val="0533298B"/>
    <w:rsid w:val="05AC5F14"/>
    <w:rsid w:val="05CD03BE"/>
    <w:rsid w:val="05F477B7"/>
    <w:rsid w:val="07AF5FEE"/>
    <w:rsid w:val="07D654D5"/>
    <w:rsid w:val="088710D9"/>
    <w:rsid w:val="091C6588"/>
    <w:rsid w:val="094F5478"/>
    <w:rsid w:val="09A70AB9"/>
    <w:rsid w:val="09E66AD6"/>
    <w:rsid w:val="09F4147B"/>
    <w:rsid w:val="0A277760"/>
    <w:rsid w:val="0ACF324E"/>
    <w:rsid w:val="0B565E48"/>
    <w:rsid w:val="0B5E2A33"/>
    <w:rsid w:val="0BEB139D"/>
    <w:rsid w:val="0C0418A5"/>
    <w:rsid w:val="0C1A446B"/>
    <w:rsid w:val="0CAA04D6"/>
    <w:rsid w:val="0CC42C4A"/>
    <w:rsid w:val="0CE1020E"/>
    <w:rsid w:val="0CE5021C"/>
    <w:rsid w:val="0CE90D83"/>
    <w:rsid w:val="0D272843"/>
    <w:rsid w:val="0F1E59DC"/>
    <w:rsid w:val="0F4628CF"/>
    <w:rsid w:val="0F53554E"/>
    <w:rsid w:val="0F71729A"/>
    <w:rsid w:val="0F914A2F"/>
    <w:rsid w:val="0FD4292A"/>
    <w:rsid w:val="10134FF0"/>
    <w:rsid w:val="10863CAA"/>
    <w:rsid w:val="109819C6"/>
    <w:rsid w:val="10DB653E"/>
    <w:rsid w:val="112F7D4C"/>
    <w:rsid w:val="114C276E"/>
    <w:rsid w:val="12173925"/>
    <w:rsid w:val="129243DD"/>
    <w:rsid w:val="12BB52A2"/>
    <w:rsid w:val="1342037A"/>
    <w:rsid w:val="13E76168"/>
    <w:rsid w:val="14706D5B"/>
    <w:rsid w:val="147902B3"/>
    <w:rsid w:val="15517106"/>
    <w:rsid w:val="15855BCE"/>
    <w:rsid w:val="15B71161"/>
    <w:rsid w:val="15D00CD9"/>
    <w:rsid w:val="16795C6E"/>
    <w:rsid w:val="16A17D2C"/>
    <w:rsid w:val="16EE2D85"/>
    <w:rsid w:val="177F6166"/>
    <w:rsid w:val="18C87522"/>
    <w:rsid w:val="192B394B"/>
    <w:rsid w:val="196B01BF"/>
    <w:rsid w:val="1A8B0593"/>
    <w:rsid w:val="1AC67E61"/>
    <w:rsid w:val="1B1D07A3"/>
    <w:rsid w:val="1B9907D4"/>
    <w:rsid w:val="1C151423"/>
    <w:rsid w:val="1C407CE8"/>
    <w:rsid w:val="1C843F95"/>
    <w:rsid w:val="1C962C76"/>
    <w:rsid w:val="1CBB7632"/>
    <w:rsid w:val="1D7B096A"/>
    <w:rsid w:val="1D7D134A"/>
    <w:rsid w:val="1DC80A69"/>
    <w:rsid w:val="1E9514A0"/>
    <w:rsid w:val="1F051509"/>
    <w:rsid w:val="1F3369B2"/>
    <w:rsid w:val="1F47475D"/>
    <w:rsid w:val="1FD72787"/>
    <w:rsid w:val="20AF2A2B"/>
    <w:rsid w:val="20DA106C"/>
    <w:rsid w:val="20EF1296"/>
    <w:rsid w:val="20F75157"/>
    <w:rsid w:val="212B1E31"/>
    <w:rsid w:val="21323004"/>
    <w:rsid w:val="21362EB0"/>
    <w:rsid w:val="2161289E"/>
    <w:rsid w:val="21AD5563"/>
    <w:rsid w:val="21F50B43"/>
    <w:rsid w:val="22A031DB"/>
    <w:rsid w:val="231A50A3"/>
    <w:rsid w:val="23305048"/>
    <w:rsid w:val="236E081B"/>
    <w:rsid w:val="2487307B"/>
    <w:rsid w:val="2508096D"/>
    <w:rsid w:val="25101CDA"/>
    <w:rsid w:val="25550458"/>
    <w:rsid w:val="2559103D"/>
    <w:rsid w:val="255D565D"/>
    <w:rsid w:val="25685003"/>
    <w:rsid w:val="256C23F4"/>
    <w:rsid w:val="25C97BEE"/>
    <w:rsid w:val="26DB0FF6"/>
    <w:rsid w:val="26E41B28"/>
    <w:rsid w:val="274041B2"/>
    <w:rsid w:val="281955CF"/>
    <w:rsid w:val="281D195D"/>
    <w:rsid w:val="290D4131"/>
    <w:rsid w:val="29266E1A"/>
    <w:rsid w:val="295D4F3D"/>
    <w:rsid w:val="2A044599"/>
    <w:rsid w:val="2A0F7B8F"/>
    <w:rsid w:val="2A8A1A57"/>
    <w:rsid w:val="2B05240B"/>
    <w:rsid w:val="2B4470EF"/>
    <w:rsid w:val="2B506A7E"/>
    <w:rsid w:val="2B7C00E6"/>
    <w:rsid w:val="2BF4266B"/>
    <w:rsid w:val="2C38364A"/>
    <w:rsid w:val="2C9E09EC"/>
    <w:rsid w:val="2CB371D5"/>
    <w:rsid w:val="2CF3776A"/>
    <w:rsid w:val="2D0C3CF4"/>
    <w:rsid w:val="2D611200"/>
    <w:rsid w:val="2D7F4851"/>
    <w:rsid w:val="2E9A2201"/>
    <w:rsid w:val="2F797671"/>
    <w:rsid w:val="2F7F199B"/>
    <w:rsid w:val="2FD55B5A"/>
    <w:rsid w:val="30806B9E"/>
    <w:rsid w:val="30B43B75"/>
    <w:rsid w:val="31650772"/>
    <w:rsid w:val="31C845BB"/>
    <w:rsid w:val="31E9143D"/>
    <w:rsid w:val="31FF6F86"/>
    <w:rsid w:val="3204001F"/>
    <w:rsid w:val="335D3AD4"/>
    <w:rsid w:val="33886860"/>
    <w:rsid w:val="339D556E"/>
    <w:rsid w:val="33D41194"/>
    <w:rsid w:val="34A55F9D"/>
    <w:rsid w:val="34BE33D7"/>
    <w:rsid w:val="35344E80"/>
    <w:rsid w:val="35B83942"/>
    <w:rsid w:val="35DB18E9"/>
    <w:rsid w:val="361A126B"/>
    <w:rsid w:val="363E3B8C"/>
    <w:rsid w:val="36545D30"/>
    <w:rsid w:val="368564FF"/>
    <w:rsid w:val="36BF0CFE"/>
    <w:rsid w:val="36EC758F"/>
    <w:rsid w:val="37671CCB"/>
    <w:rsid w:val="37B26C16"/>
    <w:rsid w:val="382156FA"/>
    <w:rsid w:val="383D10D3"/>
    <w:rsid w:val="38FA4D0A"/>
    <w:rsid w:val="38FC6146"/>
    <w:rsid w:val="39A43E9E"/>
    <w:rsid w:val="39ED22F2"/>
    <w:rsid w:val="3A001090"/>
    <w:rsid w:val="3AF712CC"/>
    <w:rsid w:val="3BDD1C9A"/>
    <w:rsid w:val="3C6234CA"/>
    <w:rsid w:val="3C712D37"/>
    <w:rsid w:val="3CB36193"/>
    <w:rsid w:val="3CDF7907"/>
    <w:rsid w:val="3D4E7AA9"/>
    <w:rsid w:val="3D5123A5"/>
    <w:rsid w:val="3E3C3D7F"/>
    <w:rsid w:val="3EEB2146"/>
    <w:rsid w:val="3F0F3FAB"/>
    <w:rsid w:val="3F3D74FE"/>
    <w:rsid w:val="3FB568DB"/>
    <w:rsid w:val="3FBC281F"/>
    <w:rsid w:val="3FC94921"/>
    <w:rsid w:val="40B90D30"/>
    <w:rsid w:val="41AD16C5"/>
    <w:rsid w:val="432A1B18"/>
    <w:rsid w:val="437B44C4"/>
    <w:rsid w:val="43E06BC0"/>
    <w:rsid w:val="450B6A83"/>
    <w:rsid w:val="453413AE"/>
    <w:rsid w:val="4537221B"/>
    <w:rsid w:val="45631693"/>
    <w:rsid w:val="45D80832"/>
    <w:rsid w:val="46263727"/>
    <w:rsid w:val="463B4047"/>
    <w:rsid w:val="47105324"/>
    <w:rsid w:val="47243847"/>
    <w:rsid w:val="480004B0"/>
    <w:rsid w:val="480623B9"/>
    <w:rsid w:val="481E41DD"/>
    <w:rsid w:val="48A06651"/>
    <w:rsid w:val="49492114"/>
    <w:rsid w:val="495777FB"/>
    <w:rsid w:val="4AF20173"/>
    <w:rsid w:val="4B0C6E2E"/>
    <w:rsid w:val="4B2655D3"/>
    <w:rsid w:val="4BAE772A"/>
    <w:rsid w:val="4BB17333"/>
    <w:rsid w:val="4BE53A39"/>
    <w:rsid w:val="4C4A7B3B"/>
    <w:rsid w:val="4C4F073F"/>
    <w:rsid w:val="4C586E50"/>
    <w:rsid w:val="4C8B4D21"/>
    <w:rsid w:val="4C8D6025"/>
    <w:rsid w:val="4CEA1A71"/>
    <w:rsid w:val="4DA841F4"/>
    <w:rsid w:val="4DC3281F"/>
    <w:rsid w:val="4DFC16FF"/>
    <w:rsid w:val="4E1F525A"/>
    <w:rsid w:val="4EF241A3"/>
    <w:rsid w:val="4F1A1D21"/>
    <w:rsid w:val="4F2D7873"/>
    <w:rsid w:val="4F9A0054"/>
    <w:rsid w:val="4FEE5732"/>
    <w:rsid w:val="50066CA3"/>
    <w:rsid w:val="504533AC"/>
    <w:rsid w:val="50485D02"/>
    <w:rsid w:val="50594DE2"/>
    <w:rsid w:val="50715E7F"/>
    <w:rsid w:val="511A4EA0"/>
    <w:rsid w:val="518B59E0"/>
    <w:rsid w:val="52221E4F"/>
    <w:rsid w:val="5244176A"/>
    <w:rsid w:val="52622C38"/>
    <w:rsid w:val="526D31C8"/>
    <w:rsid w:val="52F52B89"/>
    <w:rsid w:val="530458E8"/>
    <w:rsid w:val="53AD73D7"/>
    <w:rsid w:val="541532F3"/>
    <w:rsid w:val="54190937"/>
    <w:rsid w:val="544669FD"/>
    <w:rsid w:val="54540E6A"/>
    <w:rsid w:val="54F21968"/>
    <w:rsid w:val="550310E3"/>
    <w:rsid w:val="552419F1"/>
    <w:rsid w:val="556A2BB0"/>
    <w:rsid w:val="55B66898"/>
    <w:rsid w:val="55BB16B6"/>
    <w:rsid w:val="55CA1182"/>
    <w:rsid w:val="56C57A34"/>
    <w:rsid w:val="572B3928"/>
    <w:rsid w:val="574F6249"/>
    <w:rsid w:val="576B5B9C"/>
    <w:rsid w:val="578E1256"/>
    <w:rsid w:val="57AD74C8"/>
    <w:rsid w:val="58071A1F"/>
    <w:rsid w:val="588675CA"/>
    <w:rsid w:val="59695B75"/>
    <w:rsid w:val="599B1691"/>
    <w:rsid w:val="5A3115B5"/>
    <w:rsid w:val="5A9E32D5"/>
    <w:rsid w:val="5B584E6A"/>
    <w:rsid w:val="5C86411D"/>
    <w:rsid w:val="5CE42072"/>
    <w:rsid w:val="5CEF3C87"/>
    <w:rsid w:val="5D810FF7"/>
    <w:rsid w:val="5E736001"/>
    <w:rsid w:val="5E810B9A"/>
    <w:rsid w:val="5E8575A0"/>
    <w:rsid w:val="5ECC5796"/>
    <w:rsid w:val="5F177C37"/>
    <w:rsid w:val="5F3F2478"/>
    <w:rsid w:val="5F74047B"/>
    <w:rsid w:val="60081EA4"/>
    <w:rsid w:val="606964BC"/>
    <w:rsid w:val="60AB7D42"/>
    <w:rsid w:val="616E24E6"/>
    <w:rsid w:val="619A462F"/>
    <w:rsid w:val="62312A9D"/>
    <w:rsid w:val="6251635C"/>
    <w:rsid w:val="63545F00"/>
    <w:rsid w:val="635C21B5"/>
    <w:rsid w:val="641963B7"/>
    <w:rsid w:val="64202DC6"/>
    <w:rsid w:val="64480A16"/>
    <w:rsid w:val="65EC58B4"/>
    <w:rsid w:val="666F001B"/>
    <w:rsid w:val="671B6946"/>
    <w:rsid w:val="674B4506"/>
    <w:rsid w:val="67CF2561"/>
    <w:rsid w:val="67FA45E8"/>
    <w:rsid w:val="6841159B"/>
    <w:rsid w:val="687F107F"/>
    <w:rsid w:val="68822004"/>
    <w:rsid w:val="69BF750B"/>
    <w:rsid w:val="6A6F1DC6"/>
    <w:rsid w:val="6ADF4062"/>
    <w:rsid w:val="6B405AFC"/>
    <w:rsid w:val="6BD8207B"/>
    <w:rsid w:val="6C8C2E23"/>
    <w:rsid w:val="6CA17546"/>
    <w:rsid w:val="6D36583B"/>
    <w:rsid w:val="6D870634"/>
    <w:rsid w:val="6DDC72CD"/>
    <w:rsid w:val="6F7F20D5"/>
    <w:rsid w:val="6FC43CA6"/>
    <w:rsid w:val="6FCC6779"/>
    <w:rsid w:val="70812E3F"/>
    <w:rsid w:val="7179553A"/>
    <w:rsid w:val="71A12E7C"/>
    <w:rsid w:val="71D8190B"/>
    <w:rsid w:val="71DE05CD"/>
    <w:rsid w:val="72567C18"/>
    <w:rsid w:val="72740C55"/>
    <w:rsid w:val="72F06D27"/>
    <w:rsid w:val="7328385A"/>
    <w:rsid w:val="732D57FF"/>
    <w:rsid w:val="735536BC"/>
    <w:rsid w:val="739065EB"/>
    <w:rsid w:val="739A49ED"/>
    <w:rsid w:val="73DF11F6"/>
    <w:rsid w:val="73F26EC8"/>
    <w:rsid w:val="74352E35"/>
    <w:rsid w:val="74410750"/>
    <w:rsid w:val="74671085"/>
    <w:rsid w:val="75403B33"/>
    <w:rsid w:val="75E44CC4"/>
    <w:rsid w:val="75F21E91"/>
    <w:rsid w:val="761B77D2"/>
    <w:rsid w:val="76880984"/>
    <w:rsid w:val="76DE6D2F"/>
    <w:rsid w:val="77693B15"/>
    <w:rsid w:val="77DC7456"/>
    <w:rsid w:val="77E2713E"/>
    <w:rsid w:val="782A0E88"/>
    <w:rsid w:val="78A07BDA"/>
    <w:rsid w:val="78B64B97"/>
    <w:rsid w:val="78C62C34"/>
    <w:rsid w:val="790A4749"/>
    <w:rsid w:val="7980072F"/>
    <w:rsid w:val="79CC7F63"/>
    <w:rsid w:val="79F0361A"/>
    <w:rsid w:val="7AB14371"/>
    <w:rsid w:val="7AB46BDC"/>
    <w:rsid w:val="7B5209E2"/>
    <w:rsid w:val="7BA577E9"/>
    <w:rsid w:val="7C28453F"/>
    <w:rsid w:val="7C5A278F"/>
    <w:rsid w:val="7C6543A4"/>
    <w:rsid w:val="7CA56C98"/>
    <w:rsid w:val="7CE309DD"/>
    <w:rsid w:val="7D1A2BCE"/>
    <w:rsid w:val="7D512D27"/>
    <w:rsid w:val="7D566EE8"/>
    <w:rsid w:val="7E345685"/>
    <w:rsid w:val="7E477DBC"/>
    <w:rsid w:val="7E6D09FF"/>
    <w:rsid w:val="7EB3166A"/>
    <w:rsid w:val="7F0945F7"/>
    <w:rsid w:val="7F46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5">
    <w:name w:val="Normal Indent"/>
    <w:basedOn w:val="1"/>
    <w:autoRedefine/>
    <w:qFormat/>
    <w:uiPriority w:val="0"/>
    <w:pPr>
      <w:widowControl w:val="0"/>
      <w:spacing w:line="360" w:lineRule="auto"/>
      <w:ind w:firstLine="420" w:firstLineChars="200"/>
      <w:jc w:val="both"/>
    </w:pPr>
    <w:rPr>
      <w:kern w:val="2"/>
      <w:sz w:val="21"/>
    </w:rPr>
  </w:style>
  <w:style w:type="paragraph" w:styleId="6">
    <w:name w:val="annotation text"/>
    <w:basedOn w:val="1"/>
    <w:autoRedefine/>
    <w:qFormat/>
    <w:uiPriority w:val="0"/>
    <w:pPr>
      <w:widowControl w:val="0"/>
    </w:pPr>
    <w:rPr>
      <w:kern w:val="2"/>
      <w:sz w:val="18"/>
      <w:szCs w:val="20"/>
    </w:rPr>
  </w:style>
  <w:style w:type="paragraph" w:styleId="7">
    <w:name w:val="Body Text Indent"/>
    <w:basedOn w:val="1"/>
    <w:autoRedefine/>
    <w:qFormat/>
    <w:uiPriority w:val="0"/>
    <w:pPr>
      <w:ind w:firstLine="630"/>
    </w:pPr>
    <w:rPr>
      <w:sz w:val="32"/>
      <w:szCs w:val="20"/>
    </w:rPr>
  </w:style>
  <w:style w:type="paragraph" w:styleId="8">
    <w:name w:val="Plain Text"/>
    <w:basedOn w:val="1"/>
    <w:autoRedefine/>
    <w:qFormat/>
    <w:uiPriority w:val="0"/>
    <w:pPr>
      <w:spacing w:line="460" w:lineRule="exact"/>
      <w:ind w:firstLine="567"/>
    </w:pPr>
    <w:rPr>
      <w:rFonts w:ascii="宋体" w:hAnsi="Courier New" w:eastAsia="仿宋_GB2312"/>
      <w:sz w:val="28"/>
      <w:szCs w:val="20"/>
    </w:rPr>
  </w:style>
  <w:style w:type="paragraph" w:styleId="9">
    <w:name w:val="footer"/>
    <w:basedOn w:val="1"/>
    <w:autoRedefine/>
    <w:qFormat/>
    <w:uiPriority w:val="0"/>
    <w:pPr>
      <w:tabs>
        <w:tab w:val="center" w:pos="4153"/>
        <w:tab w:val="right" w:pos="8306"/>
      </w:tabs>
      <w:snapToGrid w:val="0"/>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line="180" w:lineRule="auto"/>
      <w:jc w:val="center"/>
    </w:pPr>
    <w:rPr>
      <w:sz w:val="30"/>
    </w:rPr>
  </w:style>
  <w:style w:type="paragraph" w:styleId="12">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2"/>
    <w:autoRedefine/>
    <w:qFormat/>
    <w:uiPriority w:val="0"/>
    <w:pPr>
      <w:widowControl w:val="0"/>
      <w:ind w:firstLine="420" w:firstLineChars="100"/>
      <w:jc w:val="both"/>
    </w:pPr>
    <w:rPr>
      <w:rFonts w:ascii="宋体" w:hAnsi="宋体"/>
      <w:kern w:val="2"/>
      <w:sz w:val="21"/>
      <w:szCs w:val="20"/>
    </w:rPr>
  </w:style>
  <w:style w:type="paragraph" w:styleId="15">
    <w:name w:val="Body Text First Indent 2"/>
    <w:basedOn w:val="7"/>
    <w:autoRedefine/>
    <w:qFormat/>
    <w:uiPriority w:val="0"/>
    <w:pPr>
      <w:ind w:firstLine="42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character" w:styleId="20">
    <w:name w:val="annotation reference"/>
    <w:autoRedefine/>
    <w:qFormat/>
    <w:uiPriority w:val="99"/>
    <w:rPr>
      <w:sz w:val="21"/>
      <w:szCs w:val="21"/>
    </w:rPr>
  </w:style>
  <w:style w:type="paragraph" w:customStyle="1" w:styleId="2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GW-正文"/>
    <w:basedOn w:val="1"/>
    <w:autoRedefine/>
    <w:qFormat/>
    <w:uiPriority w:val="0"/>
    <w:pPr>
      <w:spacing w:line="360" w:lineRule="auto"/>
      <w:ind w:firstLine="200" w:firstLineChars="200"/>
    </w:pPr>
    <w:rPr>
      <w:rFonts w:eastAsia="仿宋_GB2312"/>
      <w:sz w:val="24"/>
      <w:szCs w:val="24"/>
    </w:rPr>
  </w:style>
  <w:style w:type="paragraph" w:customStyle="1" w:styleId="24">
    <w:name w:val="_Style 3"/>
    <w:basedOn w:val="1"/>
    <w:autoRedefine/>
    <w:qFormat/>
    <w:uiPriority w:val="0"/>
    <w:pPr>
      <w:ind w:firstLine="420" w:firstLineChars="200"/>
    </w:pPr>
    <w:rPr>
      <w:sz w:val="20"/>
    </w:rPr>
  </w:style>
  <w:style w:type="paragraph" w:customStyle="1" w:styleId="25">
    <w:name w:val="Table Paragraph"/>
    <w:basedOn w:val="1"/>
    <w:autoRedefine/>
    <w:qFormat/>
    <w:uiPriority w:val="1"/>
    <w:pPr>
      <w:autoSpaceDE w:val="0"/>
      <w:autoSpaceDN w:val="0"/>
      <w:jc w:val="left"/>
    </w:pPr>
    <w:rPr>
      <w:sz w:val="22"/>
      <w:szCs w:val="22"/>
    </w:rPr>
  </w:style>
  <w:style w:type="paragraph" w:customStyle="1" w:styleId="26">
    <w:name w:val="null3"/>
    <w:autoRedefine/>
    <w:hidden/>
    <w:qFormat/>
    <w:uiPriority w:val="0"/>
    <w:rPr>
      <w:rFonts w:hint="eastAsia" w:asciiTheme="minorHAnsi" w:hAnsiTheme="minorHAnsi" w:eastAsiaTheme="minorEastAsia" w:cstheme="minorBidi"/>
      <w:lang w:val="en-US" w:eastAsia="zh-Hans"/>
    </w:rPr>
  </w:style>
  <w:style w:type="paragraph" w:customStyle="1" w:styleId="27">
    <w:name w:val="List Paragraph"/>
    <w:basedOn w:val="1"/>
    <w:autoRedefine/>
    <w:qFormat/>
    <w:uiPriority w:val="0"/>
    <w:pPr>
      <w:ind w:firstLine="420" w:firstLineChars="200"/>
    </w:pPr>
  </w:style>
  <w:style w:type="paragraph" w:customStyle="1" w:styleId="28">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8691</Words>
  <Characters>9363</Characters>
  <Lines>0</Lines>
  <Paragraphs>0</Paragraphs>
  <TotalTime>2</TotalTime>
  <ScaleCrop>false</ScaleCrop>
  <LinksUpToDate>false</LinksUpToDate>
  <CharactersWithSpaces>9908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2024-07-08T00:38:33Z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796B92C70F0F4764B01F0098AFD1D00F_12</vt:lpwstr>
  </property>
</Properties>
</file>