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sz w:val="32"/>
          <w:szCs w:val="32"/>
        </w:rPr>
      </w:pPr>
      <w:r>
        <w:rPr>
          <w:rFonts w:hint="eastAsia" w:ascii="黑体" w:hAnsi="黑体" w:eastAsia="黑体" w:cs="黑体"/>
          <w:b/>
          <w:sz w:val="32"/>
          <w:szCs w:val="32"/>
        </w:rPr>
        <w:t>四川省妇幼保健院</w:t>
      </w:r>
      <w:r>
        <w:rPr>
          <w:rFonts w:hint="eastAsia" w:ascii="黑体" w:hAnsi="黑体" w:eastAsia="黑体" w:cs="黑体"/>
          <w:bCs/>
          <w:sz w:val="32"/>
          <w:szCs w:val="32"/>
        </w:rPr>
        <w:t xml:space="preserve"> </w:t>
      </w:r>
      <w:r>
        <w:rPr>
          <w:rFonts w:hint="eastAsia" w:ascii="黑体" w:hAnsi="黑体" w:eastAsia="黑体" w:cs="黑体"/>
          <w:b/>
          <w:sz w:val="32"/>
          <w:szCs w:val="32"/>
        </w:rPr>
        <w:t>四川省妇女儿童医院</w:t>
      </w:r>
    </w:p>
    <w:p>
      <w:pPr>
        <w:pStyle w:val="10"/>
        <w:widowControl/>
        <w:spacing w:before="0" w:beforeAutospacing="0" w:after="136" w:afterAutospacing="0" w:line="360" w:lineRule="auto"/>
        <w:jc w:val="center"/>
        <w:rPr>
          <w:rFonts w:ascii="黑体" w:hAnsi="黑体" w:eastAsia="黑体" w:cs="黑体"/>
          <w:b/>
          <w:kern w:val="2"/>
          <w:sz w:val="32"/>
          <w:szCs w:val="32"/>
        </w:rPr>
      </w:pPr>
      <w:r>
        <w:rPr>
          <w:rFonts w:hint="eastAsia" w:ascii="黑体" w:hAnsi="黑体" w:eastAsia="黑体" w:cs="黑体"/>
          <w:b/>
          <w:kern w:val="2"/>
          <w:sz w:val="32"/>
          <w:szCs w:val="32"/>
        </w:rPr>
        <w:t>晋阳院区、抚琴院区防火门维修改造项目</w:t>
      </w:r>
    </w:p>
    <w:p>
      <w:pPr>
        <w:pStyle w:val="10"/>
        <w:widowControl/>
        <w:spacing w:before="0" w:beforeAutospacing="0" w:after="136" w:afterAutospacing="0" w:line="360" w:lineRule="auto"/>
        <w:jc w:val="center"/>
        <w:rPr>
          <w:rFonts w:ascii="黑体" w:hAnsi="黑体" w:eastAsia="黑体" w:cs="黑体"/>
          <w:b/>
          <w:sz w:val="32"/>
          <w:szCs w:val="32"/>
        </w:rPr>
      </w:pPr>
      <w:r>
        <w:rPr>
          <w:rFonts w:hint="eastAsia" w:ascii="黑体" w:hAnsi="黑体" w:eastAsia="黑体" w:cs="黑体"/>
          <w:b/>
          <w:sz w:val="32"/>
          <w:szCs w:val="32"/>
        </w:rPr>
        <w:t>采购公告</w:t>
      </w:r>
    </w:p>
    <w:p>
      <w:pPr>
        <w:pStyle w:val="10"/>
        <w:widowControl/>
        <w:spacing w:before="0" w:beforeAutospacing="0" w:after="136" w:afterAutospacing="0" w:line="360" w:lineRule="auto"/>
        <w:jc w:val="center"/>
        <w:rPr>
          <w:rFonts w:ascii="黑体" w:hAnsi="黑体" w:eastAsia="黑体" w:cs="黑体"/>
          <w:b/>
          <w:kern w:val="2"/>
          <w:sz w:val="32"/>
          <w:szCs w:val="32"/>
        </w:rPr>
      </w:pPr>
      <w:r>
        <w:rPr>
          <w:rFonts w:hint="eastAsia" w:ascii="黑体" w:hAnsi="黑体" w:eastAsia="黑体" w:cs="黑体"/>
          <w:b/>
          <w:kern w:val="2"/>
          <w:sz w:val="32"/>
          <w:szCs w:val="32"/>
        </w:rPr>
        <w:t>采购编号：SCFY-HQ202405-004（磋）</w:t>
      </w:r>
    </w:p>
    <w:p>
      <w:pPr>
        <w:widowControl/>
        <w:spacing w:line="360" w:lineRule="auto"/>
        <w:ind w:firstLine="241" w:firstLineChars="100"/>
        <w:jc w:val="center"/>
        <w:rPr>
          <w:rFonts w:ascii="宋体" w:hAnsi="宋体" w:cs="宋体"/>
          <w:b/>
          <w:sz w:val="24"/>
        </w:rPr>
      </w:pPr>
    </w:p>
    <w:p>
      <w:pPr>
        <w:pStyle w:val="10"/>
        <w:widowControl/>
        <w:spacing w:before="0" w:beforeAutospacing="0" w:after="136" w:afterAutospacing="0" w:line="360" w:lineRule="auto"/>
        <w:jc w:val="both"/>
        <w:rPr>
          <w:rFonts w:ascii="宋体" w:hAnsi="宋体" w:cs="宋体"/>
        </w:rPr>
      </w:pPr>
    </w:p>
    <w:p>
      <w:pPr>
        <w:pStyle w:val="10"/>
        <w:widowControl/>
        <w:spacing w:before="0" w:beforeAutospacing="0" w:after="136" w:afterAutospacing="0" w:line="360" w:lineRule="auto"/>
        <w:jc w:val="both"/>
        <w:rPr>
          <w:rFonts w:ascii="宋体" w:hAnsi="宋体" w:cs="宋体"/>
          <w:shd w:val="clear" w:color="auto" w:fill="FFFFFF"/>
        </w:rPr>
      </w:pPr>
      <w:r>
        <w:rPr>
          <w:rFonts w:hint="eastAsia" w:ascii="宋体" w:hAnsi="宋体" w:cs="宋体"/>
          <w:shd w:val="clear" w:color="auto" w:fill="FFFFFF"/>
        </w:rPr>
        <w:t>潜在供应商：</w:t>
      </w:r>
    </w:p>
    <w:p>
      <w:pPr>
        <w:pStyle w:val="10"/>
        <w:widowControl/>
        <w:spacing w:before="0" w:beforeAutospacing="0" w:after="136" w:afterAutospacing="0" w:line="360" w:lineRule="auto"/>
        <w:jc w:val="both"/>
        <w:rPr>
          <w:rFonts w:ascii="宋体" w:hAnsi="宋体" w:cs="宋体"/>
          <w:shd w:val="clear" w:color="auto" w:fill="FFFFFF"/>
        </w:rPr>
      </w:pPr>
      <w:r>
        <w:rPr>
          <w:rFonts w:hint="eastAsia" w:ascii="宋体" w:hAnsi="宋体" w:cs="宋体"/>
          <w:shd w:val="clear" w:color="auto" w:fill="FFFFFF"/>
        </w:rPr>
        <w:t xml:space="preserve">    </w:t>
      </w:r>
      <w:r>
        <w:rPr>
          <w:rFonts w:hint="eastAsia" w:ascii="宋体" w:hAnsi="宋体" w:cs="宋体"/>
          <w:kern w:val="2"/>
          <w:shd w:val="clear" w:color="auto" w:fill="FFFFFF"/>
        </w:rPr>
        <w:t>我院将召开“</w:t>
      </w:r>
      <w:r>
        <w:rPr>
          <w:rFonts w:hint="eastAsia" w:ascii="宋体" w:hAnsi="宋体" w:cs="宋体"/>
          <w:shd w:val="clear" w:color="auto" w:fill="FFFFFF"/>
        </w:rPr>
        <w:t>晋阳院区、抚琴院区防火门维修改造项目”院内采购会议，会议由后勤保障部组织。届时，请投标人准时参加，务必提供公司资质文件（密封盖章）、采购投标文件（密封盖章）、报价一览表（密封盖章）等资料，具体事项如下：</w:t>
      </w:r>
      <w:bookmarkStart w:id="0" w:name="_GoBack"/>
      <w:bookmarkEnd w:id="0"/>
    </w:p>
    <w:p>
      <w:pPr>
        <w:pStyle w:val="10"/>
        <w:widowControl/>
        <w:numPr>
          <w:ilvl w:val="0"/>
          <w:numId w:val="1"/>
        </w:numPr>
        <w:spacing w:beforeAutospacing="0" w:after="136" w:line="360" w:lineRule="auto"/>
        <w:ind w:firstLine="420"/>
        <w:jc w:val="both"/>
        <w:rPr>
          <w:rFonts w:ascii="宋体" w:hAnsi="宋体" w:cs="宋体"/>
          <w:b/>
          <w:bCs/>
          <w:shd w:val="clear" w:color="auto" w:fill="FFFFFF"/>
        </w:rPr>
      </w:pPr>
      <w:r>
        <w:rPr>
          <w:rFonts w:hint="eastAsia" w:ascii="宋体" w:hAnsi="宋体" w:cs="宋体"/>
          <w:b/>
          <w:bCs/>
          <w:shd w:val="clear" w:color="auto" w:fill="FFFFFF"/>
        </w:rPr>
        <w:t>会议时间：</w:t>
      </w:r>
      <w:r>
        <w:rPr>
          <w:rFonts w:hint="eastAsia" w:ascii="宋体" w:hAnsi="宋体" w:cs="宋体"/>
          <w:b/>
          <w:bCs/>
          <w:shd w:val="clear" w:color="auto" w:fill="FFFFFF"/>
          <w:lang w:eastAsia="zh-CN"/>
        </w:rPr>
        <w:t>2024年6月6日（星期四）上午09:00</w:t>
      </w:r>
    </w:p>
    <w:p>
      <w:pPr>
        <w:pStyle w:val="10"/>
        <w:widowControl/>
        <w:numPr>
          <w:ilvl w:val="0"/>
          <w:numId w:val="1"/>
        </w:numPr>
        <w:spacing w:beforeAutospacing="0" w:after="136" w:line="360" w:lineRule="auto"/>
        <w:ind w:firstLine="420"/>
        <w:jc w:val="both"/>
        <w:rPr>
          <w:rFonts w:ascii="宋体" w:hAnsi="宋体" w:cs="宋体"/>
          <w:shd w:val="clear" w:color="auto" w:fill="FFFFFF"/>
        </w:rPr>
      </w:pPr>
      <w:r>
        <w:rPr>
          <w:rFonts w:hint="eastAsia" w:ascii="宋体" w:hAnsi="宋体" w:cs="宋体"/>
          <w:b/>
          <w:bCs/>
          <w:shd w:val="clear" w:color="auto" w:fill="FFFFFF"/>
        </w:rPr>
        <w:t>会议地点：四川省妇幼保健院（晋阳院区）-综合楼五楼小会议室 </w:t>
      </w:r>
      <w:r>
        <w:rPr>
          <w:rFonts w:hint="eastAsia" w:ascii="宋体" w:hAnsi="宋体" w:cs="宋体"/>
          <w:shd w:val="clear" w:color="auto" w:fill="FFFFFF"/>
        </w:rPr>
        <w:t xml:space="preserve">     </w:t>
      </w:r>
    </w:p>
    <w:p>
      <w:pPr>
        <w:pStyle w:val="10"/>
        <w:widowControl/>
        <w:spacing w:beforeAutospacing="0" w:after="136" w:line="360" w:lineRule="auto"/>
        <w:jc w:val="both"/>
        <w:rPr>
          <w:rFonts w:ascii="宋体" w:hAnsi="宋体" w:cs="宋体"/>
          <w:shd w:val="clear" w:color="auto" w:fill="FFFFFF"/>
        </w:rPr>
      </w:pPr>
      <w:r>
        <w:rPr>
          <w:rFonts w:hint="eastAsia" w:ascii="宋体" w:hAnsi="宋体" w:cs="宋体"/>
          <w:shd w:val="clear" w:color="auto" w:fill="FFFFFF"/>
        </w:rPr>
        <w:t>3.采购方式说明：</w:t>
      </w:r>
    </w:p>
    <w:p>
      <w:pPr>
        <w:pStyle w:val="10"/>
        <w:widowControl/>
        <w:spacing w:beforeAutospacing="0" w:after="136" w:line="360" w:lineRule="auto"/>
        <w:ind w:left="420"/>
        <w:jc w:val="both"/>
        <w:rPr>
          <w:rFonts w:ascii="宋体" w:hAnsi="宋体" w:cs="宋体"/>
          <w:shd w:val="clear" w:color="auto" w:fill="FFFFFF"/>
        </w:rPr>
      </w:pPr>
      <w:r>
        <w:rPr>
          <w:rFonts w:hint="eastAsia" w:ascii="宋体" w:hAnsi="宋体" w:cs="宋体"/>
          <w:shd w:val="clear" w:color="auto" w:fill="FFFFFF"/>
        </w:rPr>
        <w:t>3.1本次采购拟采用竞争性磋商方式，评审小组成员由后勤保障部等共5名人员组成。根据投标人制作的《采购投标文件》(一式5份)、现场最终报价函以及磋商情况予以评标，推荐成交投标人。评审结束7个工作日内，医院将中标结果通知投标人。</w:t>
      </w:r>
    </w:p>
    <w:p>
      <w:pPr>
        <w:pStyle w:val="10"/>
        <w:widowControl/>
        <w:spacing w:beforeAutospacing="0" w:after="136" w:line="360" w:lineRule="auto"/>
        <w:ind w:left="420"/>
        <w:jc w:val="both"/>
        <w:rPr>
          <w:rFonts w:ascii="宋体" w:hAnsi="宋体" w:cs="宋体"/>
          <w:shd w:val="clear" w:color="auto" w:fill="FFFFFF"/>
        </w:rPr>
      </w:pPr>
      <w:r>
        <w:rPr>
          <w:rFonts w:hint="eastAsia" w:ascii="宋体" w:hAnsi="宋体" w:cs="宋体"/>
          <w:shd w:val="clear" w:color="auto" w:fill="FFFFFF"/>
        </w:rPr>
        <w:t>3.2请仔细阅读《采购文件》的相关内容，如有贻误，后果自负。</w:t>
      </w:r>
    </w:p>
    <w:p>
      <w:pPr>
        <w:pStyle w:val="10"/>
        <w:widowControl/>
        <w:spacing w:beforeAutospacing="0" w:after="136" w:line="360" w:lineRule="auto"/>
        <w:ind w:left="420"/>
        <w:jc w:val="both"/>
        <w:rPr>
          <w:rFonts w:ascii="宋体" w:hAnsi="宋体" w:cs="宋体"/>
          <w:shd w:val="clear" w:color="auto" w:fill="FFFFFF"/>
        </w:rPr>
      </w:pPr>
      <w:r>
        <w:rPr>
          <w:rFonts w:hint="eastAsia" w:ascii="宋体" w:hAnsi="宋体" w:cs="宋体"/>
          <w:shd w:val="clear" w:color="auto" w:fill="FFFFFF"/>
        </w:rPr>
        <w:t>3.3如果本次采购项目，存在不符合市场调查、资格主体异常、过程违规等情况，可以暂不采购，无义务向投标人解释具体原因。</w:t>
      </w:r>
    </w:p>
    <w:p>
      <w:pPr>
        <w:spacing w:line="360" w:lineRule="auto"/>
        <w:rPr>
          <w:rFonts w:ascii="宋体" w:hAnsi="宋体" w:cs="宋体"/>
          <w:b/>
          <w:bCs/>
          <w:sz w:val="24"/>
          <w:shd w:val="clear" w:color="auto" w:fill="FFFFFF"/>
        </w:rPr>
      </w:pPr>
      <w:r>
        <w:rPr>
          <w:rFonts w:hint="eastAsia" w:ascii="宋体" w:hAnsi="宋体" w:cs="宋体"/>
          <w:b/>
          <w:bCs/>
          <w:sz w:val="24"/>
          <w:shd w:val="clear" w:color="auto" w:fill="FFFFFF"/>
        </w:rPr>
        <w:t>4.投标人的要求（其中4.2.1-4.2.5为资格证明文件）（需单独密封）：</w:t>
      </w:r>
    </w:p>
    <w:p>
      <w:pPr>
        <w:spacing w:line="360" w:lineRule="auto"/>
        <w:ind w:left="420"/>
        <w:rPr>
          <w:rFonts w:ascii="宋体" w:hAnsi="宋体" w:cs="宋体"/>
          <w:sz w:val="24"/>
          <w:shd w:val="clear" w:color="auto" w:fill="FFFFFF"/>
        </w:rPr>
      </w:pPr>
      <w:r>
        <w:rPr>
          <w:rFonts w:hint="eastAsia" w:ascii="宋体" w:hAnsi="宋体" w:cs="宋体"/>
          <w:sz w:val="24"/>
          <w:shd w:val="clear" w:color="auto" w:fill="FFFFFF"/>
        </w:rPr>
        <w:t>4.1在中国境内注册并具有独立法人资格的合法企业；</w:t>
      </w:r>
    </w:p>
    <w:p>
      <w:pPr>
        <w:spacing w:line="360" w:lineRule="auto"/>
        <w:ind w:left="420"/>
        <w:rPr>
          <w:rFonts w:ascii="宋体" w:hAnsi="宋体" w:cs="宋体"/>
          <w:sz w:val="24"/>
          <w:shd w:val="clear" w:color="auto" w:fill="FFFFFF"/>
        </w:rPr>
      </w:pPr>
      <w:r>
        <w:rPr>
          <w:rFonts w:hint="eastAsia" w:ascii="宋体" w:hAnsi="宋体" w:cs="宋体"/>
          <w:sz w:val="24"/>
          <w:shd w:val="clear" w:color="auto" w:fill="FFFFFF"/>
        </w:rPr>
        <w:t>4.2投标人应提供以下资料(复印件加盖鲜章)：</w:t>
      </w:r>
    </w:p>
    <w:p>
      <w:pPr>
        <w:spacing w:line="360" w:lineRule="auto"/>
        <w:ind w:left="420"/>
        <w:rPr>
          <w:rFonts w:ascii="宋体" w:hAnsi="宋体" w:cs="宋体"/>
          <w:b/>
          <w:bCs/>
          <w:sz w:val="24"/>
          <w:shd w:val="clear" w:color="auto" w:fill="FFFFFF"/>
        </w:rPr>
      </w:pPr>
      <w:r>
        <w:rPr>
          <w:rFonts w:hint="eastAsia" w:ascii="宋体" w:hAnsi="宋体" w:cs="宋体"/>
          <w:b/>
          <w:bCs/>
          <w:sz w:val="24"/>
          <w:shd w:val="clear" w:color="auto" w:fill="FFFFFF"/>
        </w:rPr>
        <w:t>4.2.1有效的三证合一营业执照（副本）；</w:t>
      </w:r>
    </w:p>
    <w:p>
      <w:pPr>
        <w:spacing w:line="360" w:lineRule="auto"/>
        <w:ind w:left="420"/>
        <w:rPr>
          <w:rFonts w:ascii="宋体" w:hAnsi="宋体" w:cs="宋体"/>
          <w:b/>
          <w:bCs/>
          <w:sz w:val="24"/>
          <w:shd w:val="clear" w:color="auto" w:fill="FFFFFF"/>
        </w:rPr>
      </w:pPr>
      <w:r>
        <w:rPr>
          <w:rFonts w:hint="eastAsia" w:ascii="宋体" w:hAnsi="宋体" w:cs="宋体"/>
          <w:b/>
          <w:bCs/>
          <w:sz w:val="24"/>
          <w:shd w:val="clear" w:color="auto" w:fill="FFFFFF"/>
        </w:rPr>
        <w:t>4.2.2法定代表人身份授权书（原件，格式见附件2）,法定代表人和经办人身份证复印件；</w:t>
      </w:r>
    </w:p>
    <w:p>
      <w:pPr>
        <w:spacing w:line="360" w:lineRule="auto"/>
        <w:ind w:left="420"/>
        <w:rPr>
          <w:rFonts w:ascii="宋体" w:hAnsi="宋体" w:cs="宋体"/>
          <w:b/>
          <w:bCs/>
          <w:sz w:val="24"/>
          <w:shd w:val="clear" w:color="auto" w:fill="FFFFFF"/>
        </w:rPr>
      </w:pPr>
      <w:r>
        <w:rPr>
          <w:rFonts w:hint="eastAsia" w:ascii="宋体" w:hAnsi="宋体" w:cs="宋体"/>
          <w:b/>
          <w:bCs/>
          <w:sz w:val="24"/>
          <w:shd w:val="clear" w:color="auto" w:fill="FFFFFF"/>
        </w:rPr>
        <w:t>4.2.3 投标人须具备消防设施工程专业承包资质二级及以上；</w:t>
      </w:r>
    </w:p>
    <w:p>
      <w:pPr>
        <w:spacing w:line="360" w:lineRule="auto"/>
        <w:ind w:left="420"/>
        <w:rPr>
          <w:rFonts w:ascii="宋体" w:hAnsi="宋体" w:cs="宋体"/>
          <w:b/>
          <w:bCs/>
          <w:sz w:val="24"/>
          <w:shd w:val="clear" w:color="auto" w:fill="FFFFFF"/>
        </w:rPr>
      </w:pPr>
      <w:r>
        <w:rPr>
          <w:rFonts w:hint="eastAsia" w:ascii="宋体" w:hAnsi="宋体" w:cs="宋体"/>
          <w:b/>
          <w:bCs/>
          <w:sz w:val="24"/>
          <w:shd w:val="clear" w:color="auto" w:fill="FFFFFF"/>
        </w:rPr>
        <w:t>4.2.4 具有良好的商业信誉和健全的财务会计制度，投标人提供承诺函（附2-5）；</w:t>
      </w:r>
    </w:p>
    <w:p>
      <w:pPr>
        <w:spacing w:line="360" w:lineRule="auto"/>
        <w:ind w:left="420"/>
        <w:rPr>
          <w:rFonts w:ascii="宋体" w:hAnsi="宋体" w:cs="宋体"/>
          <w:b/>
          <w:bCs/>
          <w:sz w:val="24"/>
          <w:shd w:val="clear" w:color="auto" w:fill="FFFFFF"/>
        </w:rPr>
      </w:pPr>
      <w:r>
        <w:rPr>
          <w:rFonts w:hint="eastAsia" w:ascii="宋体" w:hAnsi="宋体" w:cs="宋体"/>
          <w:b/>
          <w:bCs/>
          <w:sz w:val="24"/>
          <w:shd w:val="clear" w:color="auto" w:fill="FFFFFF"/>
        </w:rPr>
        <w:t>4.2.5具有履行合同所必须的设备和专业技术能力，投标人提供承诺函（附2-6）。</w:t>
      </w:r>
    </w:p>
    <w:p>
      <w:pPr>
        <w:spacing w:line="360" w:lineRule="auto"/>
        <w:ind w:left="420"/>
        <w:rPr>
          <w:rFonts w:ascii="宋体" w:hAnsi="宋体" w:cs="宋体"/>
          <w:sz w:val="24"/>
          <w:shd w:val="clear" w:color="auto" w:fill="FFFFFF"/>
        </w:rPr>
      </w:pPr>
      <w:r>
        <w:rPr>
          <w:rFonts w:hint="eastAsia" w:ascii="宋体" w:hAnsi="宋体" w:cs="宋体"/>
          <w:sz w:val="24"/>
          <w:shd w:val="clear" w:color="auto" w:fill="FFFFFF"/>
        </w:rPr>
        <w:t>4.2.6投标人应能够按照采购人要求及时签署合同，按照购销合同规定的品牌、产地、质量、价格、规格、有效期等。</w:t>
      </w:r>
    </w:p>
    <w:p>
      <w:pPr>
        <w:pStyle w:val="10"/>
        <w:widowControl/>
        <w:numPr>
          <w:ilvl w:val="0"/>
          <w:numId w:val="2"/>
        </w:numPr>
        <w:spacing w:before="0" w:beforeAutospacing="0" w:after="136" w:afterAutospacing="0" w:line="360" w:lineRule="auto"/>
        <w:jc w:val="both"/>
        <w:rPr>
          <w:rFonts w:ascii="宋体" w:hAnsi="宋体" w:cs="宋体"/>
          <w:shd w:val="clear" w:color="auto" w:fill="FFFFFF"/>
        </w:rPr>
      </w:pPr>
      <w:r>
        <w:rPr>
          <w:rFonts w:hint="eastAsia" w:ascii="宋体" w:hAnsi="宋体" w:cs="宋体"/>
          <w:shd w:val="clear" w:color="auto" w:fill="FFFFFF"/>
        </w:rPr>
        <w:t>报价要求：</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 xml:space="preserve">5.1以人民币报价；报价请按照“报价一览表”（格式见附件2-1）的格式填写; </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5.2报价表中的价格应包括劳务、培训、保险、税等各项费用，即参会供应商对采购方的实际供应价。</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5.3报价原则：原则上所有投标品种报价不得高于四川省内其他地市中标价格或医疗机构近两年的历史采购最低价。</w:t>
      </w:r>
    </w:p>
    <w:p>
      <w:pPr>
        <w:pStyle w:val="10"/>
        <w:widowControl/>
        <w:spacing w:before="0" w:beforeAutospacing="0" w:after="136" w:afterAutospacing="0" w:line="360" w:lineRule="auto"/>
        <w:jc w:val="both"/>
        <w:rPr>
          <w:rFonts w:ascii="宋体" w:hAnsi="宋体" w:cs="宋体"/>
          <w:shd w:val="clear" w:color="auto" w:fill="FFFFFF"/>
        </w:rPr>
      </w:pPr>
      <w:r>
        <w:rPr>
          <w:rFonts w:hint="eastAsia" w:ascii="宋体" w:hAnsi="宋体" w:cs="宋体"/>
          <w:shd w:val="clear" w:color="auto" w:fill="FFFFFF"/>
        </w:rPr>
        <w:t>6.付款方式：按照合同约定进度付款。</w:t>
      </w:r>
    </w:p>
    <w:p>
      <w:pPr>
        <w:pStyle w:val="10"/>
        <w:widowControl/>
        <w:spacing w:before="0" w:beforeAutospacing="0" w:after="136" w:afterAutospacing="0" w:line="360" w:lineRule="auto"/>
        <w:jc w:val="both"/>
        <w:rPr>
          <w:rFonts w:ascii="宋体" w:hAnsi="宋体" w:cs="宋体"/>
          <w:shd w:val="clear" w:color="auto" w:fill="FFFFFF"/>
        </w:rPr>
      </w:pPr>
      <w:r>
        <w:rPr>
          <w:rFonts w:hint="eastAsia" w:ascii="宋体" w:hAnsi="宋体" w:cs="宋体"/>
          <w:shd w:val="clear" w:color="auto" w:fill="FFFFFF"/>
        </w:rPr>
        <w:t>7.拟参会供应商需于</w:t>
      </w:r>
      <w:r>
        <w:rPr>
          <w:rFonts w:hint="eastAsia" w:ascii="宋体" w:hAnsi="宋体" w:cs="宋体"/>
          <w:shd w:val="clear" w:color="auto" w:fill="FFFFFF"/>
          <w:lang w:eastAsia="zh-CN"/>
        </w:rPr>
        <w:t>2024年6月6日（星期四）上午09:00</w:t>
      </w:r>
      <w:r>
        <w:rPr>
          <w:rFonts w:hint="eastAsia" w:ascii="宋体" w:hAnsi="宋体" w:cs="宋体"/>
          <w:shd w:val="clear" w:color="auto" w:fill="FFFFFF"/>
        </w:rPr>
        <w:t>前提供</w:t>
      </w:r>
      <w:r>
        <w:rPr>
          <w:rFonts w:hint="eastAsia" w:ascii="宋体" w:hAnsi="宋体" w:cs="宋体"/>
          <w:b/>
          <w:bCs/>
          <w:shd w:val="clear" w:color="auto" w:fill="FFFFFF"/>
        </w:rPr>
        <w:t>（4.2.1-4.2.5）</w:t>
      </w:r>
      <w:r>
        <w:rPr>
          <w:rFonts w:hint="eastAsia" w:ascii="宋体" w:hAnsi="宋体" w:cs="宋体"/>
          <w:shd w:val="clear" w:color="auto" w:fill="FFFFFF"/>
        </w:rPr>
        <w:t>条要求的资质证明文件，进行资格审查。</w:t>
      </w:r>
    </w:p>
    <w:p>
      <w:pPr>
        <w:pStyle w:val="10"/>
        <w:widowControl/>
        <w:spacing w:before="0" w:beforeAutospacing="0" w:after="136" w:afterAutospacing="0" w:line="360" w:lineRule="auto"/>
        <w:jc w:val="both"/>
        <w:rPr>
          <w:rFonts w:ascii="宋体" w:hAnsi="宋体" w:cs="宋体"/>
          <w:shd w:val="clear" w:color="auto" w:fill="FFFFFF"/>
        </w:rPr>
      </w:pPr>
      <w:r>
        <w:rPr>
          <w:rFonts w:hint="eastAsia" w:ascii="宋体" w:hAnsi="宋体" w:cs="宋体"/>
          <w:shd w:val="clear" w:color="auto" w:fill="FFFFFF"/>
        </w:rPr>
        <w:t>8.会议安排：</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8.1　</w:t>
      </w:r>
      <w:r>
        <w:rPr>
          <w:rFonts w:hint="eastAsia" w:ascii="宋体" w:hAnsi="宋体" w:cs="宋体"/>
          <w:shd w:val="clear" w:color="auto" w:fill="FFFFFF"/>
          <w:lang w:eastAsia="zh-CN"/>
        </w:rPr>
        <w:t>2024年6月6日（星期四）上午09:00</w:t>
      </w:r>
      <w:r>
        <w:rPr>
          <w:rFonts w:hint="eastAsia" w:ascii="宋体" w:hAnsi="宋体" w:cs="宋体"/>
          <w:shd w:val="clear" w:color="auto" w:fill="FFFFFF"/>
        </w:rPr>
        <w:t>以前，投标人必须携带“采购资质文件”（一式一份，密封盖章）“报价一览表”（一式一份，密封盖章）、《采购投标文件》（一式五份，正本1份,副本4份，并分别在右上角标明“正本”和“副本”字样）密封盖章（按采购公告中产品分包密封）至综合楼五楼小会议室。采购文件必须在投标截止时间前送达采购公告要求地点。逾期送达或密封不符合采购公告规定和未报送“报价一览表”的恕不接受。</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8.2后勤保障部负责组织评审专家审核投标人的资格，并填写《院内自行采购资格审查表》。</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8.3会前，后勤保障部组织成立磋商小组，主持人宣布磋商步骤，强调磋商工作纪律，介绍总体目标、工作安排、分工、磋商文件、确定成交供应商的方法和标准。</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8.4　</w:t>
      </w:r>
      <w:r>
        <w:rPr>
          <w:rFonts w:hint="eastAsia" w:ascii="宋体" w:hAnsi="宋体" w:cs="宋体"/>
          <w:shd w:val="clear" w:color="auto" w:fill="FFFFFF"/>
          <w:lang w:eastAsia="zh-CN"/>
        </w:rPr>
        <w:t>2024年6月6日（星期四）上午09:00</w:t>
      </w:r>
      <w:r>
        <w:rPr>
          <w:rFonts w:hint="eastAsia" w:ascii="宋体" w:hAnsi="宋体" w:cs="宋体"/>
          <w:shd w:val="clear" w:color="auto" w:fill="FFFFFF"/>
        </w:rPr>
        <w:t>，投标人进入会场，后勤保障部通报资格审查情况，宣布参加评审的投标商名单；</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8.5后勤保障部汇总填写《采购评审报告》，逐级上报。7个工作日内，将磋商结果在医院官方网站上公示。</w:t>
      </w:r>
      <w:r>
        <w:rPr>
          <w:rFonts w:hint="eastAsia" w:ascii="宋体" w:hAnsi="宋体" w:cs="宋体"/>
          <w:shd w:val="clear" w:color="auto" w:fill="FFFFFF"/>
        </w:rPr>
        <w:br w:type="textWrapping"/>
      </w:r>
      <w:r>
        <w:rPr>
          <w:rFonts w:hint="eastAsia" w:ascii="宋体" w:hAnsi="宋体" w:cs="宋体"/>
          <w:shd w:val="clear" w:color="auto" w:fill="FFFFFF"/>
        </w:rPr>
        <w:t>9.其它说明：</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9.1采购投标文件(一式五份)的编制、装订：根据要求及自身实际用A4纸编制，严格按照《采购投标文件装订顺序》（见附件3）的要求进行装订。提供的所有资料须加盖鲜章，并按要求密封。</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9.2确定的成交投标人需在约定时间内完成此次采购项目交付。</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9.3</w:t>
      </w:r>
      <w:r>
        <w:rPr>
          <w:rFonts w:hint="eastAsia" w:ascii="宋体" w:hAnsi="宋体" w:cs="宋体"/>
        </w:rPr>
        <w:t>项目</w:t>
      </w:r>
      <w:r>
        <w:rPr>
          <w:rFonts w:hint="eastAsia" w:ascii="宋体" w:hAnsi="宋体" w:cs="宋体"/>
          <w:shd w:val="clear" w:color="auto" w:fill="FFFFFF"/>
        </w:rPr>
        <w:t>参数、要求（见附件1）及报价表的解释权归后勤保障部，联系人：王老师028-65978238。</w:t>
      </w:r>
    </w:p>
    <w:p>
      <w:pPr>
        <w:pStyle w:val="10"/>
        <w:widowControl/>
        <w:spacing w:before="0" w:beforeAutospacing="0" w:after="136" w:afterAutospacing="0" w:line="360" w:lineRule="auto"/>
        <w:ind w:firstLine="480" w:firstLineChars="200"/>
        <w:jc w:val="both"/>
        <w:rPr>
          <w:rFonts w:ascii="宋体" w:hAnsi="宋体" w:cs="宋体"/>
          <w:shd w:val="clear" w:color="auto" w:fill="FFFFFF"/>
        </w:rPr>
      </w:pPr>
      <w:r>
        <w:rPr>
          <w:rFonts w:hint="eastAsia" w:ascii="宋体" w:hAnsi="宋体" w:cs="宋体"/>
          <w:shd w:val="clear" w:color="auto" w:fill="FFFFFF"/>
        </w:rPr>
        <w:t>9.4后勤保障部采购事宜联系人：罗老师028-65978238。</w:t>
      </w:r>
    </w:p>
    <w:p>
      <w:pPr>
        <w:pStyle w:val="10"/>
        <w:widowControl/>
        <w:spacing w:before="0" w:beforeAutospacing="0" w:after="136" w:afterAutospacing="0" w:line="360" w:lineRule="auto"/>
        <w:jc w:val="both"/>
        <w:rPr>
          <w:rFonts w:ascii="宋体" w:hAnsi="宋体" w:cs="宋体"/>
          <w:shd w:val="clear" w:color="auto" w:fill="FFFFFF"/>
        </w:rPr>
      </w:pPr>
      <w:r>
        <w:rPr>
          <w:rFonts w:hint="eastAsia" w:ascii="宋体" w:hAnsi="宋体" w:cs="宋体"/>
          <w:shd w:val="clear" w:color="auto" w:fill="FFFFFF"/>
        </w:rPr>
        <w:t>10.参会供应商法人或授权代表需携带身份证原件。</w:t>
      </w:r>
      <w:r>
        <w:rPr>
          <w:rFonts w:hint="eastAsia" w:ascii="宋体" w:hAnsi="宋体" w:cs="宋体"/>
          <w:shd w:val="clear" w:color="auto" w:fill="FFFFFF"/>
        </w:rPr>
        <w:br w:type="textWrapping"/>
      </w:r>
    </w:p>
    <w:p>
      <w:pPr>
        <w:pStyle w:val="10"/>
        <w:widowControl/>
        <w:spacing w:before="0" w:beforeAutospacing="0" w:after="136" w:afterAutospacing="0" w:line="360" w:lineRule="auto"/>
        <w:jc w:val="both"/>
        <w:rPr>
          <w:rFonts w:ascii="宋体" w:hAnsi="宋体" w:cs="宋体"/>
          <w:shd w:val="clear" w:color="auto" w:fill="FFFFFF"/>
        </w:rPr>
      </w:pPr>
      <w:r>
        <w:rPr>
          <w:rFonts w:hint="eastAsia" w:ascii="宋体" w:hAnsi="宋体" w:cs="宋体"/>
          <w:shd w:val="clear" w:color="auto" w:fill="FFFFFF"/>
        </w:rPr>
        <w:t>附件：</w:t>
      </w:r>
    </w:p>
    <w:p>
      <w:pPr>
        <w:spacing w:line="360" w:lineRule="auto"/>
        <w:rPr>
          <w:rFonts w:ascii="宋体" w:hAnsi="宋体" w:cs="宋体"/>
          <w:sz w:val="24"/>
        </w:rPr>
      </w:pPr>
      <w:r>
        <w:rPr>
          <w:rFonts w:hint="eastAsia" w:ascii="宋体" w:hAnsi="宋体" w:cs="宋体"/>
          <w:sz w:val="24"/>
        </w:rPr>
        <w:t>1：采购需求</w:t>
      </w:r>
    </w:p>
    <w:p>
      <w:pPr>
        <w:spacing w:line="360" w:lineRule="auto"/>
        <w:rPr>
          <w:rFonts w:ascii="宋体" w:hAnsi="宋体" w:cs="宋体"/>
          <w:sz w:val="24"/>
        </w:rPr>
      </w:pPr>
      <w:r>
        <w:rPr>
          <w:rFonts w:hint="eastAsia" w:ascii="宋体" w:hAnsi="宋体" w:cs="宋体"/>
          <w:sz w:val="24"/>
        </w:rPr>
        <w:t>2：主要表格格式</w:t>
      </w:r>
    </w:p>
    <w:p>
      <w:pPr>
        <w:tabs>
          <w:tab w:val="left" w:pos="6645"/>
        </w:tabs>
        <w:spacing w:line="360" w:lineRule="auto"/>
        <w:jc w:val="left"/>
        <w:rPr>
          <w:rFonts w:ascii="宋体" w:hAnsi="宋体" w:cs="宋体"/>
          <w:sz w:val="24"/>
        </w:rPr>
      </w:pPr>
      <w:r>
        <w:rPr>
          <w:rFonts w:hint="eastAsia" w:ascii="宋体" w:hAnsi="宋体" w:cs="宋体"/>
          <w:sz w:val="24"/>
        </w:rPr>
        <w:t>3：采购投标文件装订顺序</w:t>
      </w:r>
    </w:p>
    <w:p>
      <w:pPr>
        <w:tabs>
          <w:tab w:val="left" w:pos="6645"/>
        </w:tabs>
        <w:spacing w:line="360" w:lineRule="auto"/>
        <w:jc w:val="left"/>
        <w:rPr>
          <w:rFonts w:ascii="宋体" w:hAnsi="宋体" w:cs="宋体"/>
          <w:sz w:val="24"/>
        </w:rPr>
      </w:pPr>
      <w:r>
        <w:rPr>
          <w:rFonts w:hint="eastAsia" w:ascii="宋体" w:hAnsi="宋体" w:cs="宋体"/>
          <w:sz w:val="24"/>
        </w:rPr>
        <w:t>4：反商业贿赂承诺书</w:t>
      </w:r>
    </w:p>
    <w:p>
      <w:pPr>
        <w:pStyle w:val="2"/>
        <w:spacing w:line="360" w:lineRule="auto"/>
        <w:rPr>
          <w:rFonts w:ascii="宋体" w:hAnsi="宋体" w:cs="宋体"/>
          <w:sz w:val="24"/>
        </w:rPr>
      </w:pPr>
      <w:r>
        <w:rPr>
          <w:rFonts w:hint="eastAsia" w:ascii="宋体" w:hAnsi="宋体" w:cs="宋体"/>
          <w:sz w:val="24"/>
        </w:rPr>
        <w:t>5：纪律承诺书</w:t>
      </w:r>
    </w:p>
    <w:p>
      <w:pPr>
        <w:pStyle w:val="11"/>
        <w:spacing w:line="360" w:lineRule="auto"/>
        <w:rPr>
          <w:rFonts w:ascii="宋体" w:hAnsi="宋体" w:cs="宋体"/>
          <w:sz w:val="24"/>
          <w:szCs w:val="24"/>
        </w:rPr>
      </w:pPr>
    </w:p>
    <w:p>
      <w:pPr>
        <w:pStyle w:val="11"/>
        <w:spacing w:line="360" w:lineRule="auto"/>
        <w:rPr>
          <w:rFonts w:ascii="宋体" w:hAnsi="宋体" w:cs="宋体"/>
          <w:sz w:val="24"/>
          <w:szCs w:val="24"/>
        </w:rPr>
      </w:pPr>
    </w:p>
    <w:p>
      <w:pPr>
        <w:pStyle w:val="11"/>
        <w:spacing w:line="360" w:lineRule="auto"/>
        <w:rPr>
          <w:rFonts w:ascii="宋体" w:hAnsi="宋体" w:cs="宋体"/>
          <w:sz w:val="24"/>
          <w:szCs w:val="24"/>
        </w:rPr>
      </w:pPr>
    </w:p>
    <w:p>
      <w:pPr>
        <w:pStyle w:val="11"/>
        <w:spacing w:line="360" w:lineRule="auto"/>
        <w:rPr>
          <w:rFonts w:ascii="宋体" w:hAnsi="宋体" w:cs="宋体"/>
          <w:sz w:val="24"/>
          <w:szCs w:val="24"/>
        </w:rPr>
      </w:pPr>
    </w:p>
    <w:p>
      <w:pPr>
        <w:pStyle w:val="11"/>
        <w:spacing w:line="360" w:lineRule="auto"/>
        <w:rPr>
          <w:rFonts w:ascii="宋体" w:hAnsi="宋体" w:cs="宋体"/>
          <w:sz w:val="24"/>
          <w:szCs w:val="24"/>
        </w:rPr>
      </w:pPr>
    </w:p>
    <w:p>
      <w:pPr>
        <w:pStyle w:val="11"/>
        <w:spacing w:line="360" w:lineRule="auto"/>
        <w:rPr>
          <w:rFonts w:ascii="宋体" w:hAnsi="宋体" w:cs="宋体"/>
          <w:sz w:val="24"/>
          <w:szCs w:val="24"/>
        </w:rPr>
      </w:pPr>
    </w:p>
    <w:p>
      <w:pPr>
        <w:spacing w:line="360" w:lineRule="auto"/>
        <w:jc w:val="left"/>
        <w:rPr>
          <w:rFonts w:ascii="宋体" w:hAnsi="宋体" w:cs="宋体"/>
          <w:b/>
          <w:bCs/>
          <w:color w:val="555555"/>
          <w:sz w:val="24"/>
          <w:shd w:val="clear" w:color="auto" w:fill="FFFFFF"/>
        </w:rPr>
      </w:pPr>
    </w:p>
    <w:p>
      <w:pPr>
        <w:spacing w:line="360" w:lineRule="auto"/>
        <w:jc w:val="left"/>
        <w:rPr>
          <w:rFonts w:ascii="宋体" w:hAnsi="宋体" w:cs="宋体"/>
          <w:b/>
          <w:bCs/>
          <w:color w:val="555555"/>
          <w:sz w:val="24"/>
          <w:shd w:val="clear" w:color="auto" w:fill="FFFFFF"/>
        </w:rPr>
      </w:pPr>
    </w:p>
    <w:p>
      <w:pPr>
        <w:spacing w:line="360" w:lineRule="auto"/>
        <w:jc w:val="left"/>
        <w:rPr>
          <w:rFonts w:ascii="宋体" w:hAnsi="宋体" w:cs="宋体"/>
          <w:b/>
          <w:bCs/>
          <w:color w:val="555555"/>
          <w:sz w:val="24"/>
          <w:shd w:val="clear" w:color="auto" w:fill="FFFFFF"/>
        </w:rPr>
      </w:pPr>
    </w:p>
    <w:p>
      <w:pPr>
        <w:spacing w:line="360" w:lineRule="auto"/>
        <w:jc w:val="left"/>
        <w:rPr>
          <w:rFonts w:ascii="宋体" w:hAnsi="宋体" w:cs="宋体"/>
          <w:b/>
          <w:bCs/>
          <w:color w:val="555555"/>
          <w:sz w:val="24"/>
          <w:shd w:val="clear" w:color="auto" w:fill="FFFFFF"/>
        </w:rPr>
      </w:pPr>
    </w:p>
    <w:p>
      <w:pPr>
        <w:spacing w:line="360" w:lineRule="auto"/>
        <w:jc w:val="left"/>
        <w:rPr>
          <w:rFonts w:ascii="宋体" w:hAnsi="宋体" w:cs="宋体"/>
          <w:b/>
          <w:bCs/>
          <w:color w:val="555555"/>
          <w:sz w:val="24"/>
          <w:shd w:val="clear" w:color="auto" w:fill="FFFFFF"/>
        </w:rPr>
      </w:pPr>
    </w:p>
    <w:p>
      <w:pPr>
        <w:spacing w:line="360" w:lineRule="auto"/>
        <w:jc w:val="left"/>
        <w:rPr>
          <w:rFonts w:ascii="宋体" w:hAnsi="宋体" w:cs="宋体"/>
          <w:b/>
          <w:bCs/>
          <w:color w:val="555555"/>
          <w:sz w:val="24"/>
          <w:shd w:val="clear" w:color="auto" w:fill="FFFFFF"/>
        </w:rPr>
      </w:pPr>
      <w:r>
        <w:rPr>
          <w:rFonts w:hint="eastAsia" w:ascii="宋体" w:hAnsi="宋体" w:cs="宋体"/>
          <w:b/>
          <w:bCs/>
          <w:color w:val="555555"/>
          <w:sz w:val="24"/>
          <w:shd w:val="clear" w:color="auto" w:fill="FFFFFF"/>
        </w:rPr>
        <w:t>附件1：采购需求</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一、项目名称：晋阳院区、抚琴院区防火门维修改造项目。</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二、采购方式：竞争性磋商</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三、项目地址：四川省妇幼保健院晋阳院区（</w:t>
      </w:r>
      <w:r>
        <w:rPr>
          <w:rFonts w:hint="eastAsia" w:ascii="宋体" w:hAnsi="宋体" w:cs="宋体"/>
          <w:sz w:val="24"/>
        </w:rPr>
        <w:t>成都市武侯区沙堰西二街290号</w:t>
      </w:r>
      <w:r>
        <w:rPr>
          <w:rFonts w:hint="eastAsia" w:ascii="宋体" w:hAnsi="宋体" w:cs="宋体"/>
          <w:sz w:val="24"/>
          <w:shd w:val="clear" w:color="auto" w:fill="FFFFFF"/>
        </w:rPr>
        <w:t>）、四川省妇幼保健院抚琴院区（成都市金牛区抚琴西路338号）</w:t>
      </w:r>
    </w:p>
    <w:p>
      <w:pPr>
        <w:pStyle w:val="2"/>
        <w:spacing w:line="360" w:lineRule="auto"/>
        <w:rPr>
          <w:rFonts w:ascii="宋体" w:hAnsi="宋体" w:cs="宋体"/>
          <w:sz w:val="24"/>
        </w:rPr>
      </w:pPr>
      <w:r>
        <w:rPr>
          <w:rFonts w:hint="eastAsia" w:ascii="宋体" w:hAnsi="宋体" w:cs="宋体"/>
          <w:sz w:val="24"/>
          <w:shd w:val="clear" w:color="auto" w:fill="FFFFFF"/>
        </w:rPr>
        <w:t xml:space="preserve">    四、各潜在供应商均可到现场踏勘（现场踏勘电话：028-65978238 联系人：陈老师）</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五、项目概况</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1.四川省妇幼保健院晋阳院区共7栋建筑，其中投入使用最长的建筑房屋自2012年投入使用至今已12余年，建筑内的防火门不同程度需维修改造；四川省妇幼保健院抚琴院区涉及科教楼的防火门维修改造。</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2.防火门维修改造项目明细见下表：</w:t>
      </w:r>
    </w:p>
    <w:tbl>
      <w:tblPr>
        <w:tblStyle w:val="12"/>
        <w:tblW w:w="8575" w:type="dxa"/>
        <w:tblInd w:w="96" w:type="dxa"/>
        <w:tblLayout w:type="autofit"/>
        <w:tblCellMar>
          <w:top w:w="0" w:type="dxa"/>
          <w:left w:w="108" w:type="dxa"/>
          <w:bottom w:w="0" w:type="dxa"/>
          <w:right w:w="108" w:type="dxa"/>
        </w:tblCellMar>
      </w:tblPr>
      <w:tblGrid>
        <w:gridCol w:w="1225"/>
        <w:gridCol w:w="1225"/>
        <w:gridCol w:w="1225"/>
        <w:gridCol w:w="1225"/>
        <w:gridCol w:w="1225"/>
        <w:gridCol w:w="1225"/>
        <w:gridCol w:w="1225"/>
      </w:tblGrid>
      <w:tr>
        <w:tblPrEx>
          <w:tblCellMar>
            <w:top w:w="0" w:type="dxa"/>
            <w:left w:w="108" w:type="dxa"/>
            <w:bottom w:w="0" w:type="dxa"/>
            <w:right w:w="108" w:type="dxa"/>
          </w:tblCellMar>
        </w:tblPrEx>
        <w:trPr>
          <w:trHeight w:val="952" w:hRule="atLeast"/>
        </w:trPr>
        <w:tc>
          <w:tcPr>
            <w:tcW w:w="122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22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22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耐火性能</w:t>
            </w:r>
          </w:p>
        </w:tc>
        <w:tc>
          <w:tcPr>
            <w:tcW w:w="122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防火门代号</w:t>
            </w:r>
          </w:p>
        </w:tc>
        <w:tc>
          <w:tcPr>
            <w:tcW w:w="122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c>
          <w:tcPr>
            <w:tcW w:w="122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b/>
                <w:bCs/>
                <w:color w:val="000000"/>
                <w:sz w:val="24"/>
              </w:rPr>
            </w:pPr>
            <w:r>
              <w:rPr>
                <w:rFonts w:hint="eastAsia" w:ascii="宋体" w:hAnsi="宋体" w:cs="宋体"/>
                <w:b/>
                <w:bCs/>
                <w:color w:val="000000"/>
                <w:kern w:val="0"/>
                <w:sz w:val="24"/>
                <w:lang w:bidi="ar"/>
              </w:rPr>
              <w:t xml:space="preserve">数量（防火门面积）   </w:t>
            </w:r>
          </w:p>
        </w:tc>
        <w:tc>
          <w:tcPr>
            <w:tcW w:w="122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备注</w:t>
            </w:r>
          </w:p>
        </w:tc>
      </w:tr>
      <w:tr>
        <w:tblPrEx>
          <w:tblCellMar>
            <w:top w:w="0" w:type="dxa"/>
            <w:left w:w="108" w:type="dxa"/>
            <w:bottom w:w="0" w:type="dxa"/>
            <w:right w:w="108" w:type="dxa"/>
          </w:tblCellMar>
        </w:tblPrEx>
        <w:trPr>
          <w:trHeight w:val="361" w:hRule="atLeast"/>
        </w:trPr>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隔热防火门（A类）</w:t>
            </w:r>
          </w:p>
        </w:tc>
        <w:tc>
          <w:tcPr>
            <w:tcW w:w="1225" w:type="dxa"/>
            <w:tcBorders>
              <w:top w:val="nil"/>
              <w:left w:val="single" w:color="000000" w:sz="8" w:space="0"/>
              <w:bottom w:val="nil"/>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A1.5（甲级）</w:t>
            </w:r>
          </w:p>
        </w:tc>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44</w:t>
            </w:r>
          </w:p>
        </w:tc>
        <w:tc>
          <w:tcPr>
            <w:tcW w:w="1225" w:type="dxa"/>
            <w:vMerge w:val="restart"/>
            <w:tcBorders>
              <w:top w:val="nil"/>
              <w:left w:val="single" w:color="000000" w:sz="8" w:space="0"/>
              <w:right w:val="single" w:color="000000" w:sz="8" w:space="0"/>
            </w:tcBorders>
            <w:shd w:val="clear" w:color="auto" w:fill="auto"/>
            <w:vAlign w:val="center"/>
          </w:tcPr>
          <w:p>
            <w:pPr>
              <w:widowControl/>
              <w:spacing w:line="360" w:lineRule="auto"/>
              <w:jc w:val="center"/>
              <w:rPr>
                <w:rFonts w:ascii="宋体" w:hAnsi="宋体" w:cs="宋体"/>
                <w:color w:val="000000"/>
                <w:kern w:val="0"/>
                <w:sz w:val="24"/>
                <w:lang w:bidi="ar"/>
              </w:rPr>
            </w:pPr>
            <w:r>
              <w:rPr>
                <w:rFonts w:hint="eastAsia" w:ascii="宋体" w:hAnsi="宋体" w:cs="宋体"/>
                <w:color w:val="000000"/>
                <w:kern w:val="0"/>
                <w:sz w:val="24"/>
                <w:lang w:bidi="ar"/>
              </w:rPr>
              <w:t>16扇</w:t>
            </w:r>
          </w:p>
          <w:p>
            <w:pPr>
              <w:spacing w:line="360" w:lineRule="auto"/>
              <w:jc w:val="center"/>
              <w:rPr>
                <w:rFonts w:ascii="宋体" w:hAnsi="宋体" w:cs="宋体"/>
                <w:sz w:val="24"/>
              </w:rPr>
            </w:pPr>
          </w:p>
        </w:tc>
      </w:tr>
      <w:tr>
        <w:tblPrEx>
          <w:tblCellMar>
            <w:top w:w="0" w:type="dxa"/>
            <w:left w:w="108" w:type="dxa"/>
            <w:bottom w:w="0" w:type="dxa"/>
            <w:right w:w="108" w:type="dxa"/>
          </w:tblCellMar>
        </w:tblPrEx>
        <w:trPr>
          <w:trHeight w:val="642" w:hRule="atLeast"/>
        </w:trPr>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tcBorders>
              <w:top w:val="nil"/>
              <w:left w:val="single" w:color="000000" w:sz="8" w:space="0"/>
              <w:bottom w:val="nil"/>
              <w:right w:val="single" w:color="000000" w:sz="8" w:space="0"/>
            </w:tcBorders>
            <w:shd w:val="clear" w:color="auto" w:fill="auto"/>
            <w:vAlign w:val="center"/>
          </w:tcPr>
          <w:p>
            <w:pPr>
              <w:widowControl/>
              <w:spacing w:line="360" w:lineRule="auto"/>
              <w:textAlignment w:val="center"/>
              <w:rPr>
                <w:rFonts w:ascii="宋体" w:hAnsi="宋体" w:cs="宋体"/>
                <w:color w:val="000000"/>
                <w:sz w:val="24"/>
              </w:rPr>
            </w:pPr>
            <w:r>
              <w:rPr>
                <w:rFonts w:hint="eastAsia" w:ascii="宋体" w:hAnsi="宋体" w:cs="宋体"/>
                <w:color w:val="000000"/>
                <w:kern w:val="0"/>
                <w:sz w:val="24"/>
                <w:lang w:bidi="ar"/>
              </w:rPr>
              <w:t>耐火隔热性≥1.5h</w:t>
            </w: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left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r>
      <w:tr>
        <w:tblPrEx>
          <w:tblCellMar>
            <w:top w:w="0" w:type="dxa"/>
            <w:left w:w="108" w:type="dxa"/>
            <w:bottom w:w="0" w:type="dxa"/>
            <w:right w:w="108" w:type="dxa"/>
          </w:tblCellMar>
        </w:tblPrEx>
        <w:trPr>
          <w:trHeight w:val="642" w:hRule="atLeast"/>
        </w:trPr>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耐火完整性≥1.5h</w:t>
            </w: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r>
      <w:tr>
        <w:tblPrEx>
          <w:tblCellMar>
            <w:top w:w="0" w:type="dxa"/>
            <w:left w:w="108" w:type="dxa"/>
            <w:bottom w:w="0" w:type="dxa"/>
            <w:right w:w="108" w:type="dxa"/>
          </w:tblCellMar>
        </w:tblPrEx>
        <w:trPr>
          <w:trHeight w:val="642" w:hRule="atLeast"/>
        </w:trPr>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tcBorders>
              <w:top w:val="nil"/>
              <w:left w:val="single" w:color="000000" w:sz="8" w:space="0"/>
              <w:bottom w:val="nil"/>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耐火隔热性≥1.0h</w:t>
            </w:r>
          </w:p>
        </w:tc>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A1.0（乙级）</w:t>
            </w:r>
          </w:p>
        </w:tc>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160</w:t>
            </w:r>
          </w:p>
        </w:tc>
        <w:tc>
          <w:tcPr>
            <w:tcW w:w="1225" w:type="dxa"/>
            <w:vMerge w:val="restart"/>
            <w:tcBorders>
              <w:top w:val="nil"/>
              <w:left w:val="single" w:color="000000" w:sz="8" w:space="0"/>
              <w:right w:val="single" w:color="000000" w:sz="8" w:space="0"/>
            </w:tcBorders>
            <w:shd w:val="clear" w:color="auto" w:fill="auto"/>
            <w:vAlign w:val="center"/>
          </w:tcPr>
          <w:p>
            <w:pPr>
              <w:widowControl/>
              <w:spacing w:line="360" w:lineRule="auto"/>
              <w:jc w:val="center"/>
              <w:rPr>
                <w:rFonts w:ascii="宋体" w:hAnsi="宋体" w:cs="宋体"/>
                <w:sz w:val="24"/>
              </w:rPr>
            </w:pPr>
            <w:r>
              <w:rPr>
                <w:rFonts w:hint="eastAsia" w:ascii="宋体" w:hAnsi="宋体" w:cs="宋体"/>
                <w:color w:val="000000"/>
                <w:kern w:val="0"/>
                <w:sz w:val="24"/>
                <w:lang w:bidi="ar"/>
              </w:rPr>
              <w:t>68扇</w:t>
            </w:r>
          </w:p>
        </w:tc>
      </w:tr>
      <w:tr>
        <w:tblPrEx>
          <w:tblCellMar>
            <w:top w:w="0" w:type="dxa"/>
            <w:left w:w="108" w:type="dxa"/>
            <w:bottom w:w="0" w:type="dxa"/>
            <w:right w:w="108" w:type="dxa"/>
          </w:tblCellMar>
        </w:tblPrEx>
        <w:trPr>
          <w:trHeight w:val="642" w:hRule="atLeast"/>
        </w:trPr>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耐火完整性≥1.0h</w:t>
            </w: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r>
      <w:tr>
        <w:tblPrEx>
          <w:tblCellMar>
            <w:top w:w="0" w:type="dxa"/>
            <w:left w:w="108" w:type="dxa"/>
            <w:bottom w:w="0" w:type="dxa"/>
            <w:right w:w="108" w:type="dxa"/>
          </w:tblCellMar>
        </w:tblPrEx>
        <w:trPr>
          <w:trHeight w:val="642" w:hRule="atLeast"/>
        </w:trPr>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tcBorders>
              <w:top w:val="nil"/>
              <w:left w:val="single" w:color="000000" w:sz="8" w:space="0"/>
              <w:bottom w:val="nil"/>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耐火隔热性≥0.5h</w:t>
            </w:r>
          </w:p>
        </w:tc>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A0.5（丙级）</w:t>
            </w:r>
          </w:p>
        </w:tc>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22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225" w:type="dxa"/>
            <w:vMerge w:val="restart"/>
            <w:tcBorders>
              <w:top w:val="nil"/>
              <w:left w:val="single" w:color="000000" w:sz="8" w:space="0"/>
              <w:right w:val="single" w:color="000000" w:sz="8" w:space="0"/>
            </w:tcBorders>
            <w:shd w:val="clear" w:color="auto" w:fill="auto"/>
            <w:vAlign w:val="center"/>
          </w:tcPr>
          <w:p>
            <w:pPr>
              <w:spacing w:line="360" w:lineRule="auto"/>
              <w:jc w:val="center"/>
              <w:rPr>
                <w:rFonts w:ascii="宋体" w:hAnsi="宋体" w:cs="宋体"/>
                <w:sz w:val="24"/>
              </w:rPr>
            </w:pPr>
            <w:r>
              <w:rPr>
                <w:rFonts w:hint="eastAsia" w:ascii="宋体" w:hAnsi="宋体" w:cs="宋体"/>
                <w:color w:val="000000"/>
                <w:kern w:val="0"/>
                <w:sz w:val="24"/>
                <w:lang w:bidi="ar"/>
              </w:rPr>
              <w:t>3扇</w:t>
            </w:r>
          </w:p>
        </w:tc>
      </w:tr>
      <w:tr>
        <w:tblPrEx>
          <w:tblCellMar>
            <w:top w:w="0" w:type="dxa"/>
            <w:left w:w="108" w:type="dxa"/>
            <w:bottom w:w="0" w:type="dxa"/>
            <w:right w:w="108" w:type="dxa"/>
          </w:tblCellMar>
        </w:tblPrEx>
        <w:trPr>
          <w:trHeight w:val="642" w:hRule="atLeast"/>
        </w:trPr>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耐火完整性≥0.5h</w:t>
            </w: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top w:val="nil"/>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c>
          <w:tcPr>
            <w:tcW w:w="1225" w:type="dxa"/>
            <w:vMerge w:val="continue"/>
            <w:tcBorders>
              <w:left w:val="single" w:color="000000" w:sz="8" w:space="0"/>
              <w:bottom w:val="single" w:color="000000" w:sz="8" w:space="0"/>
              <w:right w:val="single" w:color="000000" w:sz="8" w:space="0"/>
            </w:tcBorders>
            <w:shd w:val="clear" w:color="auto" w:fill="auto"/>
            <w:vAlign w:val="center"/>
          </w:tcPr>
          <w:p>
            <w:pPr>
              <w:spacing w:line="360" w:lineRule="auto"/>
              <w:jc w:val="center"/>
              <w:rPr>
                <w:rFonts w:ascii="宋体" w:hAnsi="宋体" w:cs="宋体"/>
                <w:color w:val="000000"/>
                <w:sz w:val="24"/>
              </w:rPr>
            </w:pPr>
          </w:p>
        </w:tc>
      </w:tr>
      <w:tr>
        <w:tblPrEx>
          <w:tblCellMar>
            <w:top w:w="0" w:type="dxa"/>
            <w:left w:w="108" w:type="dxa"/>
            <w:bottom w:w="0" w:type="dxa"/>
            <w:right w:w="108" w:type="dxa"/>
          </w:tblCellMar>
        </w:tblPrEx>
        <w:trPr>
          <w:trHeight w:val="346" w:hRule="atLeast"/>
        </w:trPr>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闭门器</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46</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331" w:hRule="atLeast"/>
        </w:trPr>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顺序器</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套</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25</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kern w:val="0"/>
                <w:sz w:val="24"/>
                <w:lang w:bidi="ar"/>
              </w:rPr>
            </w:pPr>
          </w:p>
        </w:tc>
      </w:tr>
      <w:tr>
        <w:tblPrEx>
          <w:tblCellMar>
            <w:top w:w="0" w:type="dxa"/>
            <w:left w:w="108" w:type="dxa"/>
            <w:bottom w:w="0" w:type="dxa"/>
            <w:right w:w="108" w:type="dxa"/>
          </w:tblCellMar>
        </w:tblPrEx>
        <w:trPr>
          <w:trHeight w:val="972" w:hRule="atLeast"/>
        </w:trPr>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防火门标识</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kern w:val="0"/>
                <w:sz w:val="24"/>
                <w:lang w:bidi="ar"/>
              </w:rPr>
              <w:t>张</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sz w:val="24"/>
              </w:rPr>
            </w:pPr>
            <w:r>
              <w:rPr>
                <w:rFonts w:hint="eastAsia" w:ascii="宋体" w:hAnsi="宋体" w:cs="宋体"/>
                <w:color w:val="000000"/>
                <w:sz w:val="24"/>
              </w:rPr>
              <w:t>200</w:t>
            </w:r>
          </w:p>
        </w:tc>
        <w:tc>
          <w:tcPr>
            <w:tcW w:w="1225" w:type="dxa"/>
            <w:tcBorders>
              <w:top w:val="nil"/>
              <w:left w:val="single" w:color="000000" w:sz="8" w:space="0"/>
              <w:bottom w:val="single" w:color="000000" w:sz="8" w:space="0"/>
              <w:right w:val="single" w:color="000000" w:sz="8" w:space="0"/>
            </w:tcBorders>
            <w:shd w:val="clear" w:color="auto" w:fill="auto"/>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sz w:val="24"/>
              </w:rPr>
              <w:t>常闭防火门请保持关闭</w:t>
            </w:r>
          </w:p>
        </w:tc>
      </w:tr>
    </w:tbl>
    <w:p>
      <w:pPr>
        <w:spacing w:line="360" w:lineRule="auto"/>
        <w:ind w:firstLine="480" w:firstLineChars="200"/>
        <w:rPr>
          <w:rFonts w:ascii="宋体" w:hAnsi="宋体" w:cs="宋体"/>
          <w:sz w:val="24"/>
        </w:rPr>
      </w:pPr>
      <w:r>
        <w:rPr>
          <w:rFonts w:hint="eastAsia" w:ascii="宋体" w:hAnsi="宋体" w:cs="宋体"/>
          <w:sz w:val="24"/>
          <w:shd w:val="clear" w:color="auto" w:fill="FFFFFF"/>
        </w:rPr>
        <w:t>注：1.</w:t>
      </w:r>
      <w:r>
        <w:rPr>
          <w:rFonts w:hint="eastAsia" w:ascii="宋体" w:hAnsi="宋体" w:cs="宋体"/>
          <w:sz w:val="24"/>
        </w:rPr>
        <w:t>更换防火门需带闭门器及顺序器；</w:t>
      </w:r>
    </w:p>
    <w:p>
      <w:pPr>
        <w:spacing w:line="360" w:lineRule="auto"/>
        <w:ind w:firstLine="960" w:firstLineChars="400"/>
        <w:rPr>
          <w:rFonts w:ascii="宋体" w:hAnsi="宋体" w:cs="宋体"/>
          <w:sz w:val="24"/>
        </w:rPr>
      </w:pPr>
      <w:r>
        <w:rPr>
          <w:rFonts w:hint="eastAsia" w:ascii="宋体" w:hAnsi="宋体" w:cs="宋体"/>
          <w:sz w:val="24"/>
        </w:rPr>
        <w:t>2.更换的防火门要求均为钢质防火门。</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六、规范要求</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（一）国家及地方的主要规程、规范、标准及法规：</w:t>
      </w:r>
    </w:p>
    <w:p>
      <w:pPr>
        <w:spacing w:line="360" w:lineRule="auto"/>
        <w:ind w:firstLine="480" w:firstLineChars="200"/>
        <w:rPr>
          <w:rFonts w:ascii="宋体" w:hAnsi="宋体" w:cs="宋体"/>
          <w:sz w:val="24"/>
          <w:shd w:val="clear" w:color="auto" w:fill="FFFFFF"/>
          <w:lang w:val="zh-CN"/>
        </w:rPr>
      </w:pPr>
      <w:r>
        <w:rPr>
          <w:rFonts w:hint="eastAsia" w:ascii="宋体" w:hAnsi="宋体" w:cs="宋体"/>
          <w:sz w:val="24"/>
          <w:shd w:val="clear" w:color="auto" w:fill="FFFFFF"/>
        </w:rPr>
        <w:t xml:space="preserve">1.《建筑设计防火规范》 GB50016-2014（2018年版） </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2.《建筑消防设施的维护管理》 GB25201-2010</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3.《消防设施通用规范》 GB55036-2022</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 xml:space="preserve">4.《建筑防火通用规范》 GB55037-2022 </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5.《防火门》 GB12955-2008</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6.《防火卷帘、防火门、防火窗施工及验收规范》 GB 50877-2014</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（二）相关要求</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1.本采购项目涉及的消防设备技术指标要求须符合最新国家标准。</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2.严格按照《中华人民共和国产品质量法》（中华人民共和国主席令第33号）及国家相关规定标准，保证消防器材和消防设备材料的质量。</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3.本采购项目涉及的消防设施需与我院现有品牌相兼容或提供同类国标产品。</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4.本采购项目消防防火门维修后需提供《竣工验收合格证》，确保我院所有防火门功能使用正常。</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七、合同服务期限</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自合同签订后，采购方向中标供应商发出进场施工通知80个日历日完工。</w:t>
      </w:r>
    </w:p>
    <w:p>
      <w:pPr>
        <w:spacing w:line="360" w:lineRule="auto"/>
        <w:ind w:firstLine="480" w:firstLineChars="200"/>
        <w:rPr>
          <w:rFonts w:ascii="宋体" w:hAnsi="宋体" w:cs="宋体"/>
          <w:sz w:val="24"/>
          <w:shd w:val="clear" w:color="auto" w:fill="FFFFFF"/>
        </w:rPr>
      </w:pPr>
      <w:r>
        <w:rPr>
          <w:rFonts w:hint="eastAsia" w:ascii="宋体" w:hAnsi="宋体" w:cs="宋体"/>
          <w:sz w:val="24"/>
          <w:shd w:val="clear" w:color="auto" w:fill="FFFFFF"/>
        </w:rPr>
        <w:t>八、本采购项目</w:t>
      </w:r>
      <w:r>
        <w:rPr>
          <w:rFonts w:hint="eastAsia" w:ascii="宋体" w:hAnsi="宋体" w:cs="宋体"/>
          <w:b/>
          <w:bCs/>
          <w:sz w:val="24"/>
          <w:shd w:val="clear" w:color="auto" w:fill="FFFFFF"/>
        </w:rPr>
        <w:t>最高限价为48万元</w:t>
      </w:r>
      <w:r>
        <w:rPr>
          <w:rFonts w:hint="eastAsia" w:ascii="宋体" w:hAnsi="宋体" w:cs="宋体"/>
          <w:sz w:val="24"/>
          <w:shd w:val="clear" w:color="auto" w:fill="FFFFFF"/>
        </w:rPr>
        <w:t>，超过最高限价的报价为无效投标。按合同约定进度及实际维修面积据实支付款项。</w:t>
      </w:r>
      <w:r>
        <w:rPr>
          <w:rFonts w:hint="eastAsia" w:ascii="宋体" w:hAnsi="宋体" w:cs="宋体"/>
          <w:b/>
          <w:bCs/>
          <w:sz w:val="24"/>
          <w:shd w:val="clear" w:color="auto" w:fill="FFFFFF"/>
        </w:rPr>
        <w:t>注：</w:t>
      </w:r>
      <w:r>
        <w:rPr>
          <w:rFonts w:hint="eastAsia" w:ascii="宋体" w:hAnsi="宋体" w:cs="宋体"/>
          <w:sz w:val="24"/>
          <w:shd w:val="clear" w:color="auto" w:fill="FFFFFF"/>
        </w:rPr>
        <w:t>供应商需</w:t>
      </w:r>
      <w:r>
        <w:rPr>
          <w:rFonts w:hint="eastAsia" w:ascii="宋体" w:hAnsi="宋体" w:cs="宋体"/>
          <w:b/>
          <w:bCs/>
          <w:kern w:val="0"/>
          <w:sz w:val="24"/>
        </w:rPr>
        <w:t>提供应标品牌及参数证明包括《消防产品合格证》、《消防产品出厂合格证》并加盖投标人公章鲜章</w:t>
      </w:r>
    </w:p>
    <w:p>
      <w:pPr>
        <w:pStyle w:val="10"/>
        <w:widowControl/>
        <w:shd w:val="clear" w:color="auto" w:fill="FFFFFF"/>
        <w:wordWrap w:val="0"/>
        <w:spacing w:before="0" w:beforeAutospacing="0" w:after="0" w:afterAutospacing="0" w:line="360" w:lineRule="auto"/>
        <w:ind w:firstLine="480"/>
        <w:jc w:val="both"/>
        <w:rPr>
          <w:rFonts w:ascii="宋体" w:hAnsi="宋体" w:cs="宋体"/>
          <w:color w:val="333333"/>
        </w:rPr>
      </w:pPr>
      <w:r>
        <w:rPr>
          <w:rFonts w:hint="eastAsia" w:ascii="宋体" w:hAnsi="宋体" w:cs="宋体"/>
          <w:shd w:val="clear" w:color="auto" w:fill="FFFFFF"/>
        </w:rPr>
        <w:t>九、</w:t>
      </w:r>
      <w:r>
        <w:rPr>
          <w:rFonts w:hint="eastAsia" w:ascii="宋体" w:hAnsi="宋体" w:cs="宋体"/>
          <w:color w:val="333333"/>
          <w:shd w:val="clear" w:color="auto" w:fill="FFFFFF"/>
        </w:rPr>
        <w:t>本项目采用综合评分法，评审小组将对各投标人的投标方案、各项报价、企业综合能力、对项目的投入等方面进行综合评审，对实质上响应招标文件的投标人，根据符合采购需求、质量和服务相等且最后得分最高原则确定成交供应商。</w:t>
      </w:r>
    </w:p>
    <w:p>
      <w:pPr>
        <w:pStyle w:val="10"/>
        <w:widowControl/>
        <w:shd w:val="clear" w:color="auto" w:fill="FFFFFF"/>
        <w:wordWrap w:val="0"/>
        <w:spacing w:before="0" w:beforeAutospacing="0" w:after="0" w:afterAutospacing="0" w:line="360" w:lineRule="auto"/>
        <w:ind w:firstLine="480"/>
        <w:jc w:val="both"/>
        <w:rPr>
          <w:rFonts w:ascii="宋体" w:hAnsi="宋体" w:cs="宋体"/>
          <w:color w:val="333333"/>
        </w:rPr>
      </w:pPr>
      <w:r>
        <w:rPr>
          <w:rFonts w:hint="eastAsia" w:ascii="宋体" w:hAnsi="宋体" w:cs="宋体"/>
          <w:color w:val="333333"/>
          <w:shd w:val="clear" w:color="auto" w:fill="FFFFFF"/>
        </w:rPr>
        <w:t>不正当竞争预防措施：磋商小组认为供应商的报价明显低于其他实质性响应的供应商报价，有可能影响工程质量或者不能诚信履约的，应当要求其在合理的时间内提供书面说明，必要时提交相关证明材料；供应商不能证明其报价合理性的，磋商小组应当将其作为无效响应处理。</w:t>
      </w:r>
    </w:p>
    <w:p>
      <w:pPr>
        <w:pStyle w:val="4"/>
        <w:tabs>
          <w:tab w:val="left" w:pos="600"/>
        </w:tabs>
        <w:spacing w:line="360" w:lineRule="auto"/>
        <w:ind w:firstLine="480" w:firstLineChars="200"/>
        <w:rPr>
          <w:rFonts w:ascii="宋体" w:hAnsi="宋体" w:cs="宋体"/>
          <w:sz w:val="24"/>
          <w:szCs w:val="24"/>
        </w:rPr>
      </w:pPr>
      <w:r>
        <w:rPr>
          <w:rFonts w:hint="eastAsia" w:ascii="宋体" w:hAnsi="宋体" w:cs="宋体"/>
          <w:sz w:val="24"/>
          <w:szCs w:val="24"/>
        </w:rPr>
        <w:t>综合评分明细表</w:t>
      </w:r>
    </w:p>
    <w:tbl>
      <w:tblPr>
        <w:tblStyle w:val="12"/>
        <w:tblW w:w="48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135"/>
        <w:gridCol w:w="588"/>
        <w:gridCol w:w="5532"/>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42" w:type="pct"/>
            <w:vAlign w:val="center"/>
          </w:tcPr>
          <w:p>
            <w:pPr>
              <w:widowControl/>
              <w:spacing w:line="360" w:lineRule="auto"/>
              <w:jc w:val="center"/>
              <w:rPr>
                <w:rFonts w:ascii="宋体" w:hAnsi="宋体" w:cs="宋体"/>
                <w:b/>
                <w:color w:val="333333"/>
                <w:kern w:val="0"/>
                <w:sz w:val="24"/>
              </w:rPr>
            </w:pPr>
            <w:r>
              <w:rPr>
                <w:rFonts w:hint="eastAsia" w:ascii="宋体" w:hAnsi="宋体" w:cs="宋体"/>
                <w:b/>
                <w:color w:val="333333"/>
                <w:kern w:val="0"/>
                <w:sz w:val="24"/>
              </w:rPr>
              <w:t>序号</w:t>
            </w:r>
          </w:p>
        </w:tc>
        <w:tc>
          <w:tcPr>
            <w:tcW w:w="624" w:type="pct"/>
            <w:vAlign w:val="center"/>
          </w:tcPr>
          <w:p>
            <w:pPr>
              <w:widowControl/>
              <w:spacing w:line="360" w:lineRule="auto"/>
              <w:jc w:val="center"/>
              <w:rPr>
                <w:rFonts w:ascii="宋体" w:hAnsi="宋体" w:cs="宋体"/>
                <w:b/>
                <w:color w:val="333333"/>
                <w:kern w:val="0"/>
                <w:sz w:val="24"/>
              </w:rPr>
            </w:pPr>
            <w:r>
              <w:rPr>
                <w:rFonts w:hint="eastAsia" w:ascii="宋体" w:hAnsi="宋体" w:cs="宋体"/>
                <w:b/>
                <w:color w:val="333333"/>
                <w:kern w:val="0"/>
                <w:sz w:val="24"/>
              </w:rPr>
              <w:t>评分</w:t>
            </w:r>
          </w:p>
          <w:p>
            <w:pPr>
              <w:widowControl/>
              <w:spacing w:line="360" w:lineRule="auto"/>
              <w:jc w:val="center"/>
              <w:rPr>
                <w:rFonts w:ascii="宋体" w:hAnsi="宋体" w:cs="宋体"/>
                <w:b/>
                <w:color w:val="333333"/>
                <w:kern w:val="0"/>
                <w:sz w:val="24"/>
              </w:rPr>
            </w:pPr>
            <w:r>
              <w:rPr>
                <w:rFonts w:hint="eastAsia" w:ascii="宋体" w:hAnsi="宋体" w:cs="宋体"/>
                <w:b/>
                <w:color w:val="333333"/>
                <w:kern w:val="0"/>
                <w:sz w:val="24"/>
              </w:rPr>
              <w:t>因素</w:t>
            </w:r>
          </w:p>
        </w:tc>
        <w:tc>
          <w:tcPr>
            <w:tcW w:w="323" w:type="pct"/>
            <w:vAlign w:val="center"/>
          </w:tcPr>
          <w:p>
            <w:pPr>
              <w:widowControl/>
              <w:spacing w:line="360" w:lineRule="auto"/>
              <w:jc w:val="center"/>
              <w:rPr>
                <w:rFonts w:ascii="宋体" w:hAnsi="宋体" w:cs="宋体"/>
                <w:b/>
                <w:color w:val="333333"/>
                <w:kern w:val="0"/>
                <w:sz w:val="24"/>
              </w:rPr>
            </w:pPr>
            <w:r>
              <w:rPr>
                <w:rFonts w:hint="eastAsia" w:ascii="宋体" w:hAnsi="宋体" w:cs="宋体"/>
                <w:b/>
                <w:color w:val="333333"/>
                <w:kern w:val="0"/>
                <w:sz w:val="24"/>
              </w:rPr>
              <w:t>分值</w:t>
            </w:r>
          </w:p>
        </w:tc>
        <w:tc>
          <w:tcPr>
            <w:tcW w:w="3041" w:type="pct"/>
            <w:vAlign w:val="center"/>
          </w:tcPr>
          <w:p>
            <w:pPr>
              <w:widowControl/>
              <w:spacing w:line="360" w:lineRule="auto"/>
              <w:jc w:val="center"/>
              <w:rPr>
                <w:rFonts w:ascii="宋体" w:hAnsi="宋体" w:cs="宋体"/>
                <w:b/>
                <w:color w:val="333333"/>
                <w:kern w:val="0"/>
                <w:sz w:val="24"/>
              </w:rPr>
            </w:pPr>
            <w:r>
              <w:rPr>
                <w:rFonts w:hint="eastAsia" w:ascii="宋体" w:hAnsi="宋体" w:cs="宋体"/>
                <w:b/>
                <w:color w:val="333333"/>
                <w:kern w:val="0"/>
                <w:sz w:val="24"/>
              </w:rPr>
              <w:t>评分标准</w:t>
            </w:r>
          </w:p>
        </w:tc>
        <w:tc>
          <w:tcPr>
            <w:tcW w:w="667" w:type="pct"/>
            <w:vAlign w:val="center"/>
          </w:tcPr>
          <w:p>
            <w:pPr>
              <w:widowControl/>
              <w:spacing w:line="360" w:lineRule="auto"/>
              <w:jc w:val="center"/>
              <w:rPr>
                <w:rFonts w:ascii="宋体" w:hAnsi="宋体" w:cs="宋体"/>
                <w:b/>
                <w:color w:val="333333"/>
                <w:kern w:val="0"/>
                <w:sz w:val="24"/>
              </w:rPr>
            </w:pPr>
            <w:r>
              <w:rPr>
                <w:rFonts w:hint="eastAsia" w:ascii="宋体" w:hAnsi="宋体" w:cs="宋体"/>
                <w:b/>
                <w:color w:val="333333"/>
                <w:kern w:val="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2" w:type="pct"/>
            <w:vAlign w:val="center"/>
          </w:tcPr>
          <w:p>
            <w:pPr>
              <w:widowControl/>
              <w:spacing w:line="360" w:lineRule="auto"/>
              <w:jc w:val="center"/>
              <w:rPr>
                <w:rFonts w:ascii="宋体" w:hAnsi="宋体" w:cs="宋体"/>
                <w:color w:val="333333"/>
                <w:kern w:val="0"/>
                <w:sz w:val="24"/>
              </w:rPr>
            </w:pPr>
            <w:r>
              <w:rPr>
                <w:rFonts w:hint="eastAsia" w:ascii="宋体" w:hAnsi="宋体" w:cs="宋体"/>
                <w:color w:val="000000"/>
                <w:kern w:val="0"/>
                <w:sz w:val="24"/>
              </w:rPr>
              <w:t>1</w:t>
            </w:r>
          </w:p>
        </w:tc>
        <w:tc>
          <w:tcPr>
            <w:tcW w:w="624" w:type="pct"/>
            <w:vAlign w:val="center"/>
          </w:tcPr>
          <w:p>
            <w:pPr>
              <w:widowControl/>
              <w:spacing w:line="360" w:lineRule="auto"/>
              <w:jc w:val="center"/>
              <w:rPr>
                <w:rFonts w:ascii="宋体" w:hAnsi="宋体" w:cs="宋体"/>
                <w:sz w:val="24"/>
              </w:rPr>
            </w:pPr>
            <w:r>
              <w:rPr>
                <w:rFonts w:hint="eastAsia" w:ascii="宋体" w:hAnsi="宋体" w:cs="宋体"/>
                <w:sz w:val="24"/>
              </w:rPr>
              <w:t>投标</w:t>
            </w:r>
          </w:p>
          <w:p>
            <w:pPr>
              <w:widowControl/>
              <w:spacing w:line="360" w:lineRule="auto"/>
              <w:jc w:val="center"/>
              <w:rPr>
                <w:rFonts w:ascii="宋体" w:hAnsi="宋体" w:cs="宋体"/>
                <w:sz w:val="24"/>
              </w:rPr>
            </w:pPr>
            <w:r>
              <w:rPr>
                <w:rFonts w:hint="eastAsia" w:ascii="宋体" w:hAnsi="宋体" w:cs="宋体"/>
                <w:sz w:val="24"/>
              </w:rPr>
              <w:t>报价</w:t>
            </w:r>
          </w:p>
          <w:p>
            <w:pPr>
              <w:widowControl/>
              <w:spacing w:line="360" w:lineRule="auto"/>
              <w:jc w:val="center"/>
              <w:rPr>
                <w:rFonts w:ascii="宋体" w:hAnsi="宋体" w:cs="宋体"/>
                <w:sz w:val="24"/>
              </w:rPr>
            </w:pPr>
            <w:r>
              <w:rPr>
                <w:rFonts w:hint="eastAsia" w:ascii="宋体" w:hAnsi="宋体" w:cs="宋体"/>
                <w:sz w:val="24"/>
              </w:rPr>
              <w:t>35%</w:t>
            </w:r>
          </w:p>
        </w:tc>
        <w:tc>
          <w:tcPr>
            <w:tcW w:w="323" w:type="pct"/>
            <w:vAlign w:val="center"/>
          </w:tcPr>
          <w:p>
            <w:pPr>
              <w:widowControl/>
              <w:spacing w:line="360" w:lineRule="auto"/>
              <w:jc w:val="center"/>
              <w:rPr>
                <w:rFonts w:ascii="宋体" w:hAnsi="宋体" w:cs="宋体"/>
                <w:color w:val="333333"/>
                <w:kern w:val="0"/>
                <w:sz w:val="24"/>
              </w:rPr>
            </w:pPr>
            <w:r>
              <w:rPr>
                <w:rFonts w:hint="eastAsia" w:ascii="宋体" w:hAnsi="宋体" w:cs="宋体"/>
                <w:color w:val="000000"/>
                <w:kern w:val="0"/>
                <w:sz w:val="24"/>
              </w:rPr>
              <w:t>35</w:t>
            </w:r>
          </w:p>
        </w:tc>
        <w:tc>
          <w:tcPr>
            <w:tcW w:w="3041" w:type="pct"/>
            <w:vAlign w:val="center"/>
          </w:tcPr>
          <w:p>
            <w:pPr>
              <w:widowControl/>
              <w:spacing w:line="360" w:lineRule="auto"/>
              <w:rPr>
                <w:rFonts w:ascii="宋体" w:hAnsi="宋体" w:cs="宋体"/>
                <w:kern w:val="0"/>
                <w:sz w:val="24"/>
              </w:rPr>
            </w:pPr>
            <w:r>
              <w:rPr>
                <w:rFonts w:hint="eastAsia" w:ascii="宋体" w:hAnsi="宋体" w:cs="宋体"/>
                <w:sz w:val="24"/>
              </w:rPr>
              <w:t>满足招标文件要求且投标报价最低的有效投标报价为评标基准价，其投标人的报价分为35分。其他投标人的报价分按以下公式计算：报价得分=(评标基准价／投标报价)×35。</w:t>
            </w:r>
          </w:p>
        </w:tc>
        <w:tc>
          <w:tcPr>
            <w:tcW w:w="667" w:type="pct"/>
            <w:vAlign w:val="center"/>
          </w:tcPr>
          <w:p>
            <w:pPr>
              <w:spacing w:line="360" w:lineRule="auto"/>
              <w:jc w:val="center"/>
              <w:rPr>
                <w:rFonts w:ascii="宋体" w:hAnsi="宋体" w:cs="宋体"/>
                <w:kern w:val="0"/>
                <w:sz w:val="24"/>
              </w:rPr>
            </w:pPr>
            <w:r>
              <w:rPr>
                <w:rFonts w:hint="eastAsia" w:ascii="宋体" w:hAnsi="宋体" w:cs="宋体"/>
                <w:sz w:val="24"/>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42" w:type="pct"/>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624" w:type="pct"/>
            <w:vAlign w:val="center"/>
          </w:tcPr>
          <w:p>
            <w:pPr>
              <w:widowControl/>
              <w:spacing w:line="360" w:lineRule="auto"/>
              <w:jc w:val="center"/>
              <w:rPr>
                <w:rFonts w:ascii="宋体" w:hAnsi="宋体" w:cs="宋体"/>
                <w:sz w:val="24"/>
              </w:rPr>
            </w:pPr>
            <w:r>
              <w:rPr>
                <w:rFonts w:hint="eastAsia" w:ascii="宋体" w:hAnsi="宋体" w:cs="宋体"/>
                <w:sz w:val="24"/>
              </w:rPr>
              <w:t>施工方案及</w:t>
            </w:r>
          </w:p>
          <w:p>
            <w:pPr>
              <w:widowControl/>
              <w:spacing w:line="360" w:lineRule="auto"/>
              <w:jc w:val="center"/>
              <w:rPr>
                <w:rFonts w:ascii="宋体" w:hAnsi="宋体" w:cs="宋体"/>
                <w:sz w:val="24"/>
              </w:rPr>
            </w:pPr>
            <w:r>
              <w:rPr>
                <w:rFonts w:hint="eastAsia" w:ascii="宋体" w:hAnsi="宋体" w:cs="宋体"/>
                <w:sz w:val="24"/>
              </w:rPr>
              <w:t>保障措施方案、工程进度30%</w:t>
            </w:r>
          </w:p>
        </w:tc>
        <w:tc>
          <w:tcPr>
            <w:tcW w:w="323" w:type="pct"/>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30</w:t>
            </w:r>
          </w:p>
        </w:tc>
        <w:tc>
          <w:tcPr>
            <w:tcW w:w="3041" w:type="pct"/>
            <w:vAlign w:val="center"/>
          </w:tcPr>
          <w:p>
            <w:pPr>
              <w:widowControl/>
              <w:spacing w:line="360" w:lineRule="auto"/>
              <w:rPr>
                <w:rFonts w:ascii="宋体" w:hAnsi="宋体" w:cs="宋体"/>
                <w:sz w:val="24"/>
              </w:rPr>
            </w:pPr>
            <w:r>
              <w:rPr>
                <w:rFonts w:hint="eastAsia" w:ascii="宋体" w:hAnsi="宋体" w:cs="宋体"/>
                <w:sz w:val="24"/>
              </w:rPr>
              <w:t>根据供应商提供的技术方案及主要措施方案进行评审，包括：（1）施工方案；（2）技术措施；（3）确保工程进度计划与措施；（4）安全责任制度和管理措施。包括但不限于安全教育和安全培训制度及管理措施、安全规章制度和操作规程及作业安全措施和防护措施等；（5）项目实施过程不影响采购方正常工作开展的相关措施。包括但不限于项目实施过程中已有成品保护措施、项目实施过程不影响其他区域消防设施正常工作的相关措施及联调联试方案及相关措施等。</w:t>
            </w:r>
          </w:p>
          <w:p>
            <w:pPr>
              <w:widowControl/>
              <w:spacing w:line="360" w:lineRule="auto"/>
              <w:rPr>
                <w:rFonts w:ascii="宋体" w:hAnsi="宋体" w:cs="宋体"/>
                <w:sz w:val="24"/>
              </w:rPr>
            </w:pPr>
            <w:r>
              <w:rPr>
                <w:rFonts w:hint="eastAsia" w:ascii="宋体" w:hAnsi="宋体" w:cs="宋体"/>
                <w:sz w:val="24"/>
              </w:rPr>
              <w:t>上述5项内容齐全且无缺陷（缺陷是指存在项目名称错误、地点区域错误、内容与本项目需求无关、方案内容矛盾或表述前后不一致、仅有框架或标题、适用的标准（方法）错误、明显复制其他项目内容等任意一种情形）得30分，每缺少一项内容扣6分，扣完为止；单项内容每存在一处缺陷扣3分，单项内容分扣完为止。</w:t>
            </w:r>
          </w:p>
        </w:tc>
        <w:tc>
          <w:tcPr>
            <w:tcW w:w="667" w:type="pct"/>
            <w:vAlign w:val="center"/>
          </w:tcPr>
          <w:p>
            <w:pPr>
              <w:widowControl/>
              <w:spacing w:line="360" w:lineRule="auto"/>
              <w:jc w:val="center"/>
              <w:rPr>
                <w:rFonts w:ascii="宋体" w:hAnsi="宋体" w:cs="宋体"/>
                <w:sz w:val="24"/>
              </w:rPr>
            </w:pPr>
            <w:r>
              <w:rPr>
                <w:rFonts w:hint="eastAsia" w:ascii="宋体" w:hAnsi="宋体" w:cs="宋体"/>
                <w:sz w:val="24"/>
              </w:rPr>
              <w:t>技术评审因素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42" w:type="pct"/>
            <w:vAlign w:val="center"/>
          </w:tcPr>
          <w:p>
            <w:pPr>
              <w:widowControl/>
              <w:spacing w:line="360" w:lineRule="auto"/>
              <w:jc w:val="center"/>
              <w:rPr>
                <w:rFonts w:ascii="宋体" w:hAnsi="宋体" w:cs="宋体"/>
                <w:color w:val="333333"/>
                <w:kern w:val="0"/>
                <w:sz w:val="24"/>
              </w:rPr>
            </w:pPr>
            <w:r>
              <w:rPr>
                <w:rFonts w:hint="eastAsia" w:ascii="宋体" w:hAnsi="宋体" w:cs="宋体"/>
                <w:color w:val="000000"/>
                <w:kern w:val="0"/>
                <w:sz w:val="24"/>
              </w:rPr>
              <w:t>3</w:t>
            </w:r>
          </w:p>
        </w:tc>
        <w:tc>
          <w:tcPr>
            <w:tcW w:w="624" w:type="pct"/>
            <w:vAlign w:val="center"/>
          </w:tcPr>
          <w:p>
            <w:pPr>
              <w:widowControl/>
              <w:spacing w:line="360" w:lineRule="auto"/>
              <w:jc w:val="center"/>
              <w:rPr>
                <w:rFonts w:ascii="宋体" w:hAnsi="宋体" w:cs="宋体"/>
                <w:sz w:val="24"/>
              </w:rPr>
            </w:pPr>
            <w:r>
              <w:rPr>
                <w:rFonts w:hint="eastAsia" w:ascii="宋体" w:hAnsi="宋体" w:cs="宋体"/>
                <w:sz w:val="24"/>
              </w:rPr>
              <w:t>业绩</w:t>
            </w:r>
          </w:p>
          <w:p>
            <w:pPr>
              <w:widowControl/>
              <w:spacing w:line="360" w:lineRule="auto"/>
              <w:jc w:val="center"/>
              <w:rPr>
                <w:rFonts w:ascii="宋体" w:hAnsi="宋体" w:cs="宋体"/>
                <w:sz w:val="24"/>
              </w:rPr>
            </w:pPr>
            <w:r>
              <w:rPr>
                <w:rFonts w:hint="eastAsia" w:ascii="宋体" w:hAnsi="宋体" w:cs="宋体"/>
                <w:sz w:val="24"/>
              </w:rPr>
              <w:t>16%</w:t>
            </w:r>
          </w:p>
        </w:tc>
        <w:tc>
          <w:tcPr>
            <w:tcW w:w="323" w:type="pct"/>
            <w:vAlign w:val="center"/>
          </w:tcPr>
          <w:p>
            <w:pPr>
              <w:widowControl/>
              <w:spacing w:line="360" w:lineRule="auto"/>
              <w:jc w:val="center"/>
              <w:rPr>
                <w:rFonts w:ascii="宋体" w:hAnsi="宋体" w:cs="宋体"/>
                <w:sz w:val="24"/>
              </w:rPr>
            </w:pPr>
            <w:r>
              <w:rPr>
                <w:rFonts w:hint="eastAsia" w:ascii="宋体" w:hAnsi="宋体" w:cs="宋体"/>
                <w:sz w:val="24"/>
              </w:rPr>
              <w:t>16</w:t>
            </w:r>
          </w:p>
        </w:tc>
        <w:tc>
          <w:tcPr>
            <w:tcW w:w="3041" w:type="pct"/>
            <w:vAlign w:val="center"/>
          </w:tcPr>
          <w:p>
            <w:pPr>
              <w:widowControl/>
              <w:spacing w:line="360" w:lineRule="auto"/>
              <w:rPr>
                <w:rFonts w:ascii="宋体" w:hAnsi="宋体" w:cs="宋体"/>
                <w:sz w:val="24"/>
              </w:rPr>
            </w:pPr>
            <w:r>
              <w:rPr>
                <w:rFonts w:hint="eastAsia" w:ascii="宋体" w:hAnsi="宋体" w:cs="宋体"/>
                <w:sz w:val="24"/>
              </w:rPr>
              <w:t>1.供应商具有《质量管理体系认证证书》得2分，具有《职业健康安全管理体系认证证书》得2分，具有《环境管理体系认证证书》得2分，最多得6分。</w:t>
            </w:r>
          </w:p>
          <w:p>
            <w:pPr>
              <w:widowControl/>
              <w:spacing w:line="360" w:lineRule="auto"/>
              <w:rPr>
                <w:rFonts w:ascii="宋体" w:hAnsi="宋体" w:cs="宋体"/>
                <w:sz w:val="24"/>
              </w:rPr>
            </w:pPr>
            <w:r>
              <w:rPr>
                <w:rFonts w:hint="eastAsia" w:ascii="宋体" w:hAnsi="宋体" w:cs="宋体"/>
                <w:sz w:val="24"/>
              </w:rPr>
              <w:t>2.投标人2021年1月1日（含）至递交投标文件截止日具有类似本项目的业绩，每提供1个业绩得2分，最多得10分。</w:t>
            </w:r>
          </w:p>
          <w:p>
            <w:pPr>
              <w:widowControl/>
              <w:spacing w:line="360" w:lineRule="auto"/>
              <w:rPr>
                <w:rFonts w:ascii="宋体" w:hAnsi="宋体" w:cs="宋体"/>
                <w:sz w:val="24"/>
              </w:rPr>
            </w:pPr>
            <w:r>
              <w:rPr>
                <w:rFonts w:hint="eastAsia" w:ascii="宋体" w:hAnsi="宋体" w:cs="宋体"/>
                <w:sz w:val="24"/>
              </w:rPr>
              <w:t>注：①提供销售采购合同或中标通知书或发票复印件加盖投标人公章。</w:t>
            </w:r>
          </w:p>
          <w:p>
            <w:pPr>
              <w:widowControl/>
              <w:spacing w:line="360" w:lineRule="auto"/>
              <w:rPr>
                <w:rFonts w:ascii="宋体" w:hAnsi="宋体" w:cs="宋体"/>
                <w:sz w:val="24"/>
              </w:rPr>
            </w:pPr>
            <w:r>
              <w:rPr>
                <w:rFonts w:hint="eastAsia" w:ascii="宋体" w:hAnsi="宋体" w:cs="宋体"/>
                <w:sz w:val="24"/>
              </w:rPr>
              <w:t xml:space="preserve">②证书须提供复印件及网页截图。 </w:t>
            </w:r>
          </w:p>
        </w:tc>
        <w:tc>
          <w:tcPr>
            <w:tcW w:w="667" w:type="pct"/>
            <w:vAlign w:val="center"/>
          </w:tcPr>
          <w:p>
            <w:pPr>
              <w:spacing w:line="360" w:lineRule="auto"/>
              <w:jc w:val="center"/>
              <w:rPr>
                <w:rFonts w:ascii="宋体" w:hAnsi="宋体" w:cs="宋体"/>
                <w:color w:val="000000"/>
                <w:kern w:val="0"/>
                <w:sz w:val="24"/>
              </w:rPr>
            </w:pPr>
            <w:r>
              <w:rPr>
                <w:rFonts w:hint="eastAsia" w:ascii="宋体" w:hAnsi="宋体" w:cs="宋体"/>
                <w:sz w:val="24"/>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42" w:type="pct"/>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4</w:t>
            </w:r>
          </w:p>
        </w:tc>
        <w:tc>
          <w:tcPr>
            <w:tcW w:w="624" w:type="pct"/>
            <w:vAlign w:val="center"/>
          </w:tcPr>
          <w:p>
            <w:pPr>
              <w:widowControl/>
              <w:spacing w:line="360" w:lineRule="auto"/>
              <w:jc w:val="center"/>
              <w:rPr>
                <w:rFonts w:ascii="宋体" w:hAnsi="宋体" w:cs="宋体"/>
                <w:sz w:val="24"/>
              </w:rPr>
            </w:pPr>
            <w:r>
              <w:rPr>
                <w:rFonts w:hint="eastAsia" w:ascii="宋体" w:hAnsi="宋体" w:cs="宋体"/>
                <w:sz w:val="24"/>
              </w:rPr>
              <w:t>项目配置16%</w:t>
            </w:r>
          </w:p>
        </w:tc>
        <w:tc>
          <w:tcPr>
            <w:tcW w:w="323" w:type="pct"/>
            <w:vAlign w:val="center"/>
          </w:tcPr>
          <w:p>
            <w:pPr>
              <w:widowControl/>
              <w:spacing w:line="360" w:lineRule="auto"/>
              <w:jc w:val="center"/>
              <w:rPr>
                <w:rFonts w:ascii="宋体" w:hAnsi="宋体" w:cs="宋体"/>
                <w:sz w:val="24"/>
              </w:rPr>
            </w:pPr>
            <w:r>
              <w:rPr>
                <w:rFonts w:hint="eastAsia" w:ascii="宋体" w:hAnsi="宋体" w:cs="宋体"/>
                <w:sz w:val="24"/>
              </w:rPr>
              <w:t>16</w:t>
            </w:r>
          </w:p>
        </w:tc>
        <w:tc>
          <w:tcPr>
            <w:tcW w:w="3041" w:type="pct"/>
            <w:vAlign w:val="center"/>
          </w:tcPr>
          <w:p>
            <w:pPr>
              <w:widowControl/>
              <w:spacing w:line="360" w:lineRule="auto"/>
              <w:rPr>
                <w:rFonts w:ascii="宋体" w:hAnsi="宋体" w:cs="宋体"/>
                <w:sz w:val="24"/>
              </w:rPr>
            </w:pPr>
            <w:r>
              <w:rPr>
                <w:rFonts w:hint="eastAsia" w:ascii="宋体" w:hAnsi="宋体" w:cs="宋体"/>
                <w:sz w:val="24"/>
              </w:rPr>
              <w:t>1.项目负责人具有机电工程专业建造师执业资格二级及以上，或者取得一级注册消防工程师证书的，得4分，本单项最多得4分；</w:t>
            </w:r>
          </w:p>
          <w:p>
            <w:pPr>
              <w:widowControl/>
              <w:spacing w:line="360" w:lineRule="auto"/>
              <w:rPr>
                <w:rFonts w:ascii="宋体" w:hAnsi="宋体" w:cs="宋体"/>
                <w:sz w:val="24"/>
              </w:rPr>
            </w:pPr>
            <w:r>
              <w:rPr>
                <w:rFonts w:hint="eastAsia" w:ascii="宋体" w:hAnsi="宋体" w:cs="宋体"/>
                <w:sz w:val="24"/>
              </w:rPr>
              <w:t>2.技术负责人取得中级工程师（机电工程专业）及以上证书，或者取得</w:t>
            </w:r>
            <w:r>
              <w:rPr>
                <w:rStyle w:val="15"/>
                <w:rFonts w:hint="eastAsia" w:ascii="宋体" w:hAnsi="宋体" w:cs="宋体"/>
                <w:sz w:val="24"/>
                <w:szCs w:val="24"/>
              </w:rPr>
              <w:t>二级</w:t>
            </w:r>
            <w:r>
              <w:rPr>
                <w:rFonts w:hint="eastAsia" w:ascii="宋体" w:hAnsi="宋体" w:cs="宋体"/>
                <w:sz w:val="24"/>
              </w:rPr>
              <w:t>注册消防工程师证书的，得3分，本单项最多得3分；</w:t>
            </w:r>
          </w:p>
          <w:p>
            <w:pPr>
              <w:widowControl/>
              <w:spacing w:line="360" w:lineRule="auto"/>
              <w:rPr>
                <w:rFonts w:ascii="宋体" w:hAnsi="宋体" w:cs="宋体"/>
                <w:sz w:val="24"/>
              </w:rPr>
            </w:pPr>
            <w:r>
              <w:rPr>
                <w:rFonts w:hint="eastAsia" w:ascii="宋体" w:hAnsi="宋体" w:cs="宋体"/>
                <w:sz w:val="24"/>
              </w:rPr>
              <w:t>3.项目其他成员持有相应上岗证书，如，施工员、质检员、安全员、材料员，每提供一个工种证书得1.5分，同一工种证书重复提供证不得分；本单项最多得6分。</w:t>
            </w:r>
          </w:p>
          <w:p>
            <w:pPr>
              <w:widowControl/>
              <w:spacing w:line="360" w:lineRule="auto"/>
              <w:rPr>
                <w:rFonts w:ascii="宋体" w:hAnsi="宋体" w:cs="宋体"/>
                <w:sz w:val="24"/>
              </w:rPr>
            </w:pPr>
            <w:r>
              <w:rPr>
                <w:rFonts w:hint="eastAsia" w:ascii="宋体" w:hAnsi="宋体" w:cs="宋体"/>
                <w:sz w:val="24"/>
              </w:rPr>
              <w:t>4.投标人具备消防设施工程专业承包贰级资质及以上得3分，不提供不得分，本单项最多得3分。</w:t>
            </w:r>
          </w:p>
          <w:p>
            <w:pPr>
              <w:widowControl/>
              <w:spacing w:line="360" w:lineRule="auto"/>
              <w:rPr>
                <w:rFonts w:ascii="宋体" w:hAnsi="宋体" w:cs="宋体"/>
                <w:sz w:val="24"/>
              </w:rPr>
            </w:pPr>
            <w:r>
              <w:rPr>
                <w:rFonts w:hint="eastAsia" w:ascii="宋体" w:hAnsi="宋体" w:cs="宋体"/>
                <w:sz w:val="24"/>
              </w:rPr>
              <w:t>上述证书均须提供复印件及其与供应商的劳动合同。投标人资质须提供复印件并盖公章。</w:t>
            </w:r>
          </w:p>
        </w:tc>
        <w:tc>
          <w:tcPr>
            <w:tcW w:w="667" w:type="pct"/>
            <w:vAlign w:val="center"/>
          </w:tcPr>
          <w:p>
            <w:pPr>
              <w:spacing w:line="360" w:lineRule="auto"/>
              <w:jc w:val="center"/>
              <w:rPr>
                <w:rFonts w:ascii="宋体" w:hAnsi="宋体" w:cs="宋体"/>
                <w:sz w:val="24"/>
              </w:rPr>
            </w:pPr>
            <w:r>
              <w:rPr>
                <w:rFonts w:hint="eastAsia" w:ascii="宋体" w:hAnsi="宋体" w:cs="宋体"/>
                <w:sz w:val="24"/>
              </w:rPr>
              <w:t>共同评审因素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42" w:type="pct"/>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w:t>
            </w:r>
          </w:p>
        </w:tc>
        <w:tc>
          <w:tcPr>
            <w:tcW w:w="624" w:type="pct"/>
            <w:vAlign w:val="center"/>
          </w:tcPr>
          <w:p>
            <w:pPr>
              <w:widowControl/>
              <w:spacing w:line="360" w:lineRule="auto"/>
              <w:jc w:val="center"/>
              <w:rPr>
                <w:rFonts w:ascii="宋体" w:hAnsi="宋体" w:cs="宋体"/>
                <w:sz w:val="24"/>
              </w:rPr>
            </w:pPr>
            <w:r>
              <w:rPr>
                <w:rFonts w:hint="eastAsia" w:ascii="宋体" w:hAnsi="宋体" w:cs="宋体"/>
                <w:sz w:val="24"/>
              </w:rPr>
              <w:t>质保期服务承诺3%</w:t>
            </w:r>
          </w:p>
        </w:tc>
        <w:tc>
          <w:tcPr>
            <w:tcW w:w="323" w:type="pct"/>
            <w:vAlign w:val="center"/>
          </w:tcPr>
          <w:p>
            <w:pPr>
              <w:widowControl/>
              <w:spacing w:line="360" w:lineRule="auto"/>
              <w:jc w:val="center"/>
              <w:rPr>
                <w:rFonts w:ascii="宋体" w:hAnsi="宋体" w:cs="宋体"/>
                <w:sz w:val="24"/>
              </w:rPr>
            </w:pPr>
            <w:r>
              <w:rPr>
                <w:rFonts w:hint="eastAsia" w:ascii="宋体" w:hAnsi="宋体" w:cs="宋体"/>
                <w:sz w:val="24"/>
              </w:rPr>
              <w:t>3</w:t>
            </w:r>
          </w:p>
        </w:tc>
        <w:tc>
          <w:tcPr>
            <w:tcW w:w="3041" w:type="pct"/>
            <w:vAlign w:val="center"/>
          </w:tcPr>
          <w:p>
            <w:pPr>
              <w:widowControl/>
              <w:spacing w:line="360" w:lineRule="auto"/>
              <w:rPr>
                <w:rFonts w:ascii="宋体" w:hAnsi="宋体" w:cs="宋体"/>
                <w:sz w:val="24"/>
              </w:rPr>
            </w:pPr>
            <w:r>
              <w:rPr>
                <w:rFonts w:hint="eastAsia" w:ascii="宋体" w:hAnsi="宋体" w:cs="宋体"/>
                <w:sz w:val="24"/>
              </w:rPr>
              <w:t>承诺在接到故障处理通知后31-60分钟内赶到现场开展处理工作的得1.5分；承诺1-30分钟内赶到现场开展处理工作的得3分；没有承诺不得分。本项最多得3分。</w:t>
            </w:r>
          </w:p>
          <w:p>
            <w:pPr>
              <w:widowControl/>
              <w:spacing w:line="360" w:lineRule="auto"/>
              <w:rPr>
                <w:rFonts w:ascii="宋体" w:hAnsi="宋体" w:cs="宋体"/>
                <w:sz w:val="24"/>
              </w:rPr>
            </w:pPr>
            <w:r>
              <w:rPr>
                <w:rFonts w:hint="eastAsia" w:ascii="宋体" w:hAnsi="宋体" w:cs="宋体"/>
                <w:sz w:val="24"/>
              </w:rPr>
              <w:t>提供承诺函原件并加盖供应商公章。</w:t>
            </w:r>
          </w:p>
        </w:tc>
        <w:tc>
          <w:tcPr>
            <w:tcW w:w="667" w:type="pct"/>
            <w:vAlign w:val="center"/>
          </w:tcPr>
          <w:p>
            <w:pPr>
              <w:spacing w:line="360" w:lineRule="auto"/>
              <w:jc w:val="center"/>
              <w:rPr>
                <w:rFonts w:ascii="宋体" w:hAnsi="宋体" w:cs="宋体"/>
                <w:sz w:val="24"/>
              </w:rPr>
            </w:pPr>
            <w:r>
              <w:rPr>
                <w:rFonts w:hint="eastAsia" w:ascii="宋体" w:hAnsi="宋体" w:cs="宋体"/>
                <w:sz w:val="24"/>
              </w:rPr>
              <w:t>共同评审因素</w:t>
            </w:r>
          </w:p>
        </w:tc>
      </w:tr>
    </w:tbl>
    <w:p>
      <w:pPr>
        <w:numPr>
          <w:ilvl w:val="0"/>
          <w:numId w:val="3"/>
        </w:numPr>
        <w:spacing w:line="360" w:lineRule="auto"/>
        <w:rPr>
          <w:rFonts w:ascii="宋体" w:hAnsi="宋体" w:cs="宋体"/>
          <w:sz w:val="24"/>
        </w:rPr>
      </w:pPr>
      <w:r>
        <w:rPr>
          <w:rFonts w:hint="eastAsia" w:ascii="宋体" w:hAnsi="宋体" w:cs="宋体"/>
          <w:sz w:val="24"/>
        </w:rPr>
        <w:t>本次竞争性磋商要求报价均为含税价。</w:t>
      </w:r>
    </w:p>
    <w:p>
      <w:pPr>
        <w:numPr>
          <w:ilvl w:val="0"/>
          <w:numId w:val="3"/>
        </w:numPr>
        <w:spacing w:line="360" w:lineRule="auto"/>
        <w:rPr>
          <w:rFonts w:ascii="宋体" w:hAnsi="宋体" w:cs="宋体"/>
          <w:b/>
          <w:bCs/>
          <w:sz w:val="24"/>
        </w:rPr>
      </w:pPr>
      <w:r>
        <w:rPr>
          <w:rFonts w:hint="eastAsia" w:ascii="宋体" w:hAnsi="宋体" w:cs="宋体"/>
          <w:b/>
          <w:bCs/>
          <w:sz w:val="24"/>
        </w:rPr>
        <w:t>注：评分的取值按四舍五入法，保留小数点后两位。</w:t>
      </w:r>
    </w:p>
    <w:p>
      <w:pPr>
        <w:pStyle w:val="2"/>
        <w:spacing w:line="360" w:lineRule="auto"/>
        <w:rPr>
          <w:rFonts w:ascii="宋体" w:hAnsi="宋体" w:cs="宋体"/>
          <w:sz w:val="24"/>
        </w:rPr>
      </w:pPr>
      <w:r>
        <w:rPr>
          <w:rFonts w:hint="eastAsia" w:ascii="宋体" w:hAnsi="宋体" w:cs="宋体"/>
          <w:b/>
          <w:bCs/>
          <w:sz w:val="24"/>
        </w:rPr>
        <w:t>3.本次防火门更换需拆除原有防火门，搬运至甲方指定地点或协助甲方处置，跟换的防火门处如破坏装修等需恢复原状。</w:t>
      </w:r>
    </w:p>
    <w:p>
      <w:pPr>
        <w:spacing w:line="360" w:lineRule="auto"/>
        <w:rPr>
          <w:rFonts w:ascii="宋体" w:hAnsi="宋体" w:cs="宋体"/>
          <w:sz w:val="24"/>
        </w:rPr>
      </w:pPr>
      <w:r>
        <w:rPr>
          <w:rFonts w:hint="eastAsia" w:ascii="宋体" w:hAnsi="宋体" w:cs="宋体"/>
          <w:sz w:val="24"/>
        </w:rPr>
        <w:t>十、保密</w:t>
      </w:r>
    </w:p>
    <w:p>
      <w:pPr>
        <w:spacing w:line="360" w:lineRule="auto"/>
        <w:rPr>
          <w:rFonts w:ascii="宋体" w:hAnsi="宋体" w:cs="宋体"/>
          <w:sz w:val="24"/>
        </w:rPr>
      </w:pPr>
      <w:r>
        <w:rPr>
          <w:rFonts w:hint="eastAsia" w:ascii="宋体" w:hAnsi="宋体" w:cs="宋体"/>
          <w:sz w:val="24"/>
        </w:rPr>
        <w:t>凡属于与本次竞争性磋商所有相关的资料和信息，各参会磋商人在任何情况下均不得向任何第三方泄露。</w:t>
      </w:r>
    </w:p>
    <w:p>
      <w:pPr>
        <w:snapToGrid w:val="0"/>
        <w:spacing w:line="360" w:lineRule="auto"/>
        <w:textAlignment w:val="baseline"/>
        <w:rPr>
          <w:rFonts w:ascii="宋体" w:hAnsi="宋体" w:cs="宋体"/>
          <w:b/>
          <w:bCs/>
          <w:sz w:val="24"/>
        </w:rPr>
      </w:pPr>
      <w:r>
        <w:rPr>
          <w:rFonts w:hint="eastAsia" w:ascii="宋体" w:hAnsi="宋体" w:cs="宋体"/>
          <w:b/>
          <w:bCs/>
          <w:sz w:val="24"/>
        </w:rPr>
        <w:t>附件2 主要表格</w:t>
      </w:r>
    </w:p>
    <w:p>
      <w:pPr>
        <w:snapToGrid w:val="0"/>
        <w:spacing w:line="360" w:lineRule="auto"/>
        <w:textAlignment w:val="baseline"/>
        <w:rPr>
          <w:rFonts w:ascii="宋体" w:hAnsi="宋体" w:cs="宋体"/>
          <w:b/>
          <w:bCs/>
          <w:sz w:val="24"/>
        </w:rPr>
      </w:pPr>
      <w:r>
        <w:rPr>
          <w:rFonts w:hint="eastAsia" w:ascii="宋体" w:hAnsi="宋体" w:cs="宋体"/>
          <w:b/>
          <w:bCs/>
          <w:sz w:val="24"/>
        </w:rPr>
        <w:t>2-1</w:t>
      </w:r>
    </w:p>
    <w:p>
      <w:pPr>
        <w:widowControl/>
        <w:spacing w:line="360" w:lineRule="auto"/>
        <w:jc w:val="center"/>
        <w:rPr>
          <w:rFonts w:ascii="宋体" w:hAnsi="宋体" w:cs="宋体"/>
          <w:kern w:val="0"/>
          <w:sz w:val="24"/>
        </w:rPr>
      </w:pPr>
      <w:r>
        <w:rPr>
          <w:rFonts w:hint="eastAsia" w:ascii="宋体" w:hAnsi="宋体" w:cs="宋体"/>
          <w:kern w:val="0"/>
          <w:sz w:val="24"/>
          <w:u w:val="single"/>
        </w:rPr>
        <w:t>XXX</w:t>
      </w:r>
      <w:r>
        <w:rPr>
          <w:rFonts w:hint="eastAsia" w:ascii="宋体" w:hAnsi="宋体" w:cs="宋体"/>
          <w:kern w:val="0"/>
          <w:sz w:val="24"/>
        </w:rPr>
        <w:t>采购项目</w:t>
      </w:r>
    </w:p>
    <w:p>
      <w:pPr>
        <w:pStyle w:val="2"/>
        <w:spacing w:line="360" w:lineRule="auto"/>
        <w:jc w:val="center"/>
        <w:rPr>
          <w:rFonts w:ascii="宋体" w:hAnsi="宋体" w:cs="宋体"/>
          <w:sz w:val="24"/>
        </w:rPr>
      </w:pPr>
      <w:r>
        <w:rPr>
          <w:rFonts w:hint="eastAsia" w:ascii="宋体" w:hAnsi="宋体" w:cs="宋体"/>
          <w:kern w:val="0"/>
          <w:sz w:val="24"/>
        </w:rPr>
        <w:t>报价一览表</w:t>
      </w:r>
    </w:p>
    <w:tbl>
      <w:tblPr>
        <w:tblStyle w:val="12"/>
        <w:tblpPr w:leftFromText="180" w:rightFromText="180" w:vertAnchor="text" w:horzAnchor="page" w:tblpX="1479" w:tblpY="843"/>
        <w:tblOverlap w:val="never"/>
        <w:tblW w:w="9111" w:type="dxa"/>
        <w:tblInd w:w="0" w:type="dxa"/>
        <w:tblLayout w:type="fixed"/>
        <w:tblCellMar>
          <w:top w:w="0" w:type="dxa"/>
          <w:left w:w="108" w:type="dxa"/>
          <w:bottom w:w="0" w:type="dxa"/>
          <w:right w:w="108" w:type="dxa"/>
        </w:tblCellMar>
      </w:tblPr>
      <w:tblGrid>
        <w:gridCol w:w="590"/>
        <w:gridCol w:w="637"/>
        <w:gridCol w:w="961"/>
        <w:gridCol w:w="1202"/>
        <w:gridCol w:w="583"/>
        <w:gridCol w:w="1317"/>
        <w:gridCol w:w="544"/>
        <w:gridCol w:w="1118"/>
        <w:gridCol w:w="1088"/>
        <w:gridCol w:w="1071"/>
      </w:tblGrid>
      <w:tr>
        <w:tblPrEx>
          <w:tblCellMar>
            <w:top w:w="0" w:type="dxa"/>
            <w:left w:w="108" w:type="dxa"/>
            <w:bottom w:w="0" w:type="dxa"/>
            <w:right w:w="108" w:type="dxa"/>
          </w:tblCellMar>
        </w:tblPrEx>
        <w:trPr>
          <w:trHeight w:val="879" w:hRule="atLeast"/>
        </w:trPr>
        <w:tc>
          <w:tcPr>
            <w:tcW w:w="59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序号</w:t>
            </w:r>
          </w:p>
        </w:tc>
        <w:tc>
          <w:tcPr>
            <w:tcW w:w="63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名称</w:t>
            </w:r>
          </w:p>
        </w:tc>
        <w:tc>
          <w:tcPr>
            <w:tcW w:w="961" w:type="dxa"/>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耐火性能</w:t>
            </w:r>
          </w:p>
        </w:tc>
        <w:tc>
          <w:tcPr>
            <w:tcW w:w="120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防火门代号</w:t>
            </w:r>
          </w:p>
        </w:tc>
        <w:tc>
          <w:tcPr>
            <w:tcW w:w="583"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单位</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 xml:space="preserve">数量（防火门面积） </w:t>
            </w:r>
            <w:r>
              <w:rPr>
                <w:rFonts w:cs="Calibri"/>
                <w:b/>
                <w:bCs/>
                <w:color w:val="000000"/>
                <w:kern w:val="0"/>
                <w:szCs w:val="21"/>
                <w:lang w:bidi="ar"/>
              </w:rPr>
              <w:t xml:space="preserve">  </w:t>
            </w:r>
          </w:p>
        </w:tc>
        <w:tc>
          <w:tcPr>
            <w:tcW w:w="544"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品牌</w:t>
            </w:r>
          </w:p>
        </w:tc>
        <w:tc>
          <w:tcPr>
            <w:tcW w:w="111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单价（元/㎡或元/套）</w:t>
            </w:r>
          </w:p>
        </w:tc>
        <w:tc>
          <w:tcPr>
            <w:tcW w:w="1088"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单项合计价格（元）</w:t>
            </w:r>
          </w:p>
        </w:tc>
        <w:tc>
          <w:tcPr>
            <w:tcW w:w="107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lang w:bidi="ar"/>
              </w:rPr>
              <w:t>备注</w:t>
            </w:r>
          </w:p>
        </w:tc>
      </w:tr>
      <w:tr>
        <w:tblPrEx>
          <w:tblCellMar>
            <w:top w:w="0" w:type="dxa"/>
            <w:left w:w="108" w:type="dxa"/>
            <w:bottom w:w="0" w:type="dxa"/>
            <w:right w:w="108" w:type="dxa"/>
          </w:tblCellMar>
        </w:tblPrEx>
        <w:trPr>
          <w:trHeight w:val="342" w:hRule="atLeast"/>
        </w:trPr>
        <w:tc>
          <w:tcPr>
            <w:tcW w:w="59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1</w:t>
            </w:r>
          </w:p>
        </w:tc>
        <w:tc>
          <w:tcPr>
            <w:tcW w:w="637" w:type="dxa"/>
            <w:vMerge w:val="restart"/>
            <w:tcBorders>
              <w:top w:val="nil"/>
              <w:left w:val="single" w:color="000000" w:sz="8" w:space="0"/>
              <w:bottom w:val="single" w:color="000000" w:sz="8" w:space="0"/>
              <w:right w:val="nil"/>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隔热防火门（</w:t>
            </w:r>
            <w:r>
              <w:rPr>
                <w:rFonts w:cs="Calibri"/>
                <w:color w:val="000000"/>
                <w:kern w:val="0"/>
                <w:szCs w:val="21"/>
                <w:lang w:bidi="ar"/>
              </w:rPr>
              <w:t>A</w:t>
            </w:r>
            <w:r>
              <w:rPr>
                <w:rFonts w:hint="eastAsia" w:ascii="宋体" w:hAnsi="宋体" w:cs="宋体"/>
                <w:color w:val="000000"/>
                <w:kern w:val="0"/>
                <w:szCs w:val="21"/>
                <w:lang w:bidi="ar"/>
              </w:rPr>
              <w:t>类）</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耐火隔热性≥</w:t>
            </w:r>
            <w:r>
              <w:rPr>
                <w:rFonts w:cs="Calibri"/>
                <w:color w:val="000000"/>
                <w:kern w:val="0"/>
                <w:szCs w:val="21"/>
                <w:lang w:bidi="ar"/>
              </w:rPr>
              <w:t>1.5h</w:t>
            </w:r>
          </w:p>
        </w:tc>
        <w:tc>
          <w:tcPr>
            <w:tcW w:w="1202"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A1.5</w:t>
            </w:r>
            <w:r>
              <w:rPr>
                <w:rFonts w:hint="eastAsia" w:ascii="宋体" w:hAnsi="宋体" w:cs="宋体"/>
                <w:color w:val="000000"/>
                <w:kern w:val="0"/>
                <w:szCs w:val="21"/>
                <w:lang w:bidi="ar"/>
              </w:rPr>
              <w:t>（甲级）</w:t>
            </w:r>
          </w:p>
        </w:tc>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13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44</w:t>
            </w:r>
          </w:p>
        </w:tc>
        <w:tc>
          <w:tcPr>
            <w:tcW w:w="544"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11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8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7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16扇</w:t>
            </w:r>
          </w:p>
        </w:tc>
      </w:tr>
      <w:tr>
        <w:tblPrEx>
          <w:tblCellMar>
            <w:top w:w="0" w:type="dxa"/>
            <w:left w:w="108" w:type="dxa"/>
            <w:bottom w:w="0" w:type="dxa"/>
            <w:right w:w="108" w:type="dxa"/>
          </w:tblCellMar>
        </w:tblPrEx>
        <w:trPr>
          <w:trHeight w:val="591" w:hRule="atLeast"/>
        </w:trPr>
        <w:tc>
          <w:tcPr>
            <w:tcW w:w="5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637" w:type="dxa"/>
            <w:vMerge w:val="continue"/>
            <w:tcBorders>
              <w:top w:val="nil"/>
              <w:left w:val="single" w:color="000000" w:sz="8" w:space="0"/>
              <w:bottom w:val="single" w:color="000000" w:sz="8" w:space="0"/>
              <w:right w:val="nil"/>
            </w:tcBorders>
            <w:shd w:val="clear" w:color="auto" w:fill="auto"/>
            <w:vAlign w:val="center"/>
          </w:tcPr>
          <w:p>
            <w:pPr>
              <w:jc w:val="center"/>
              <w:rPr>
                <w:rFonts w:ascii="宋体" w:hAnsi="宋体" w:cs="宋体"/>
                <w:color w:val="000000"/>
                <w:szCs w:val="21"/>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202" w:type="dxa"/>
            <w:vMerge w:val="continue"/>
            <w:tcBorders>
              <w:top w:val="nil"/>
              <w:left w:val="nil"/>
              <w:bottom w:val="single" w:color="000000" w:sz="8" w:space="0"/>
              <w:right w:val="single" w:color="000000" w:sz="8" w:space="0"/>
            </w:tcBorders>
            <w:shd w:val="clear" w:color="auto" w:fill="auto"/>
            <w:vAlign w:val="center"/>
          </w:tcPr>
          <w:p>
            <w:pPr>
              <w:jc w:val="center"/>
              <w:rPr>
                <w:rFonts w:cs="Calibri"/>
                <w:color w:val="000000"/>
                <w:szCs w:val="21"/>
              </w:rPr>
            </w:pPr>
          </w:p>
        </w:tc>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3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54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11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8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7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91" w:hRule="atLeast"/>
        </w:trPr>
        <w:tc>
          <w:tcPr>
            <w:tcW w:w="5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637" w:type="dxa"/>
            <w:vMerge w:val="continue"/>
            <w:tcBorders>
              <w:top w:val="nil"/>
              <w:left w:val="single" w:color="000000" w:sz="8" w:space="0"/>
              <w:bottom w:val="single" w:color="000000" w:sz="8" w:space="0"/>
              <w:right w:val="nil"/>
            </w:tcBorders>
            <w:shd w:val="clear" w:color="auto" w:fill="auto"/>
            <w:vAlign w:val="center"/>
          </w:tcPr>
          <w:p>
            <w:pPr>
              <w:jc w:val="center"/>
              <w:rPr>
                <w:rFonts w:ascii="宋体" w:hAnsi="宋体" w:cs="宋体"/>
                <w:color w:val="000000"/>
                <w:szCs w:val="21"/>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耐火完整性≥</w:t>
            </w:r>
            <w:r>
              <w:rPr>
                <w:rFonts w:cs="Calibri"/>
                <w:color w:val="000000"/>
                <w:kern w:val="0"/>
                <w:szCs w:val="21"/>
                <w:lang w:bidi="ar"/>
              </w:rPr>
              <w:t>1.5h</w:t>
            </w:r>
          </w:p>
        </w:tc>
        <w:tc>
          <w:tcPr>
            <w:tcW w:w="1202" w:type="dxa"/>
            <w:vMerge w:val="continue"/>
            <w:tcBorders>
              <w:top w:val="nil"/>
              <w:left w:val="nil"/>
              <w:bottom w:val="single" w:color="000000" w:sz="8" w:space="0"/>
              <w:right w:val="single" w:color="000000" w:sz="8" w:space="0"/>
            </w:tcBorders>
            <w:shd w:val="clear" w:color="auto" w:fill="auto"/>
            <w:vAlign w:val="center"/>
          </w:tcPr>
          <w:p>
            <w:pPr>
              <w:jc w:val="center"/>
              <w:rPr>
                <w:rFonts w:cs="Calibri"/>
                <w:color w:val="000000"/>
                <w:szCs w:val="21"/>
              </w:rPr>
            </w:pPr>
          </w:p>
        </w:tc>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3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54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11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8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7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606" w:hRule="atLeast"/>
        </w:trPr>
        <w:tc>
          <w:tcPr>
            <w:tcW w:w="59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2</w:t>
            </w:r>
          </w:p>
        </w:tc>
        <w:tc>
          <w:tcPr>
            <w:tcW w:w="637" w:type="dxa"/>
            <w:vMerge w:val="continue"/>
            <w:tcBorders>
              <w:top w:val="nil"/>
              <w:left w:val="single" w:color="000000" w:sz="8" w:space="0"/>
              <w:bottom w:val="single" w:color="000000" w:sz="8" w:space="0"/>
              <w:right w:val="nil"/>
            </w:tcBorders>
            <w:shd w:val="clear" w:color="auto" w:fill="auto"/>
            <w:vAlign w:val="center"/>
          </w:tcPr>
          <w:p>
            <w:pPr>
              <w:jc w:val="center"/>
              <w:rPr>
                <w:rFonts w:ascii="宋体" w:hAnsi="宋体" w:cs="宋体"/>
                <w:color w:val="000000"/>
                <w:szCs w:val="21"/>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耐火隔热性≥</w:t>
            </w:r>
            <w:r>
              <w:rPr>
                <w:rFonts w:cs="Calibri"/>
                <w:color w:val="000000"/>
                <w:kern w:val="0"/>
                <w:szCs w:val="21"/>
                <w:lang w:bidi="ar"/>
              </w:rPr>
              <w:t>1.0h</w:t>
            </w:r>
          </w:p>
        </w:tc>
        <w:tc>
          <w:tcPr>
            <w:tcW w:w="1202"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A1.0</w:t>
            </w:r>
            <w:r>
              <w:rPr>
                <w:rFonts w:hint="eastAsia" w:ascii="宋体" w:hAnsi="宋体" w:cs="宋体"/>
                <w:color w:val="000000"/>
                <w:kern w:val="0"/>
                <w:szCs w:val="21"/>
                <w:lang w:bidi="ar"/>
              </w:rPr>
              <w:t>（乙级）</w:t>
            </w:r>
          </w:p>
        </w:tc>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13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160</w:t>
            </w:r>
          </w:p>
        </w:tc>
        <w:tc>
          <w:tcPr>
            <w:tcW w:w="544"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11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8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7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68扇</w:t>
            </w:r>
          </w:p>
        </w:tc>
      </w:tr>
      <w:tr>
        <w:tblPrEx>
          <w:tblCellMar>
            <w:top w:w="0" w:type="dxa"/>
            <w:left w:w="108" w:type="dxa"/>
            <w:bottom w:w="0" w:type="dxa"/>
            <w:right w:w="108" w:type="dxa"/>
          </w:tblCellMar>
        </w:tblPrEx>
        <w:trPr>
          <w:trHeight w:val="591" w:hRule="atLeast"/>
        </w:trPr>
        <w:tc>
          <w:tcPr>
            <w:tcW w:w="5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637" w:type="dxa"/>
            <w:vMerge w:val="continue"/>
            <w:tcBorders>
              <w:top w:val="nil"/>
              <w:left w:val="single" w:color="000000" w:sz="8" w:space="0"/>
              <w:bottom w:val="single" w:color="000000" w:sz="8" w:space="0"/>
              <w:right w:val="nil"/>
            </w:tcBorders>
            <w:shd w:val="clear" w:color="auto" w:fill="auto"/>
            <w:vAlign w:val="center"/>
          </w:tcPr>
          <w:p>
            <w:pPr>
              <w:jc w:val="center"/>
              <w:rPr>
                <w:rFonts w:ascii="宋体" w:hAnsi="宋体" w:cs="宋体"/>
                <w:color w:val="000000"/>
                <w:szCs w:val="21"/>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耐火完整性≥</w:t>
            </w:r>
            <w:r>
              <w:rPr>
                <w:rFonts w:cs="Calibri"/>
                <w:color w:val="000000"/>
                <w:kern w:val="0"/>
                <w:szCs w:val="21"/>
                <w:lang w:bidi="ar"/>
              </w:rPr>
              <w:t>1.0h</w:t>
            </w:r>
          </w:p>
        </w:tc>
        <w:tc>
          <w:tcPr>
            <w:tcW w:w="1202" w:type="dxa"/>
            <w:vMerge w:val="continue"/>
            <w:tcBorders>
              <w:top w:val="nil"/>
              <w:left w:val="nil"/>
              <w:bottom w:val="single" w:color="000000" w:sz="8" w:space="0"/>
              <w:right w:val="single" w:color="000000" w:sz="8" w:space="0"/>
            </w:tcBorders>
            <w:shd w:val="clear" w:color="auto" w:fill="auto"/>
            <w:vAlign w:val="center"/>
          </w:tcPr>
          <w:p>
            <w:pPr>
              <w:jc w:val="center"/>
              <w:rPr>
                <w:rFonts w:cs="Calibri"/>
                <w:color w:val="000000"/>
                <w:szCs w:val="21"/>
              </w:rPr>
            </w:pPr>
          </w:p>
        </w:tc>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3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54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11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8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7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606" w:hRule="atLeast"/>
        </w:trPr>
        <w:tc>
          <w:tcPr>
            <w:tcW w:w="59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3</w:t>
            </w:r>
          </w:p>
        </w:tc>
        <w:tc>
          <w:tcPr>
            <w:tcW w:w="637" w:type="dxa"/>
            <w:vMerge w:val="continue"/>
            <w:tcBorders>
              <w:top w:val="nil"/>
              <w:left w:val="single" w:color="000000" w:sz="8" w:space="0"/>
              <w:bottom w:val="single" w:color="000000" w:sz="8" w:space="0"/>
              <w:right w:val="nil"/>
            </w:tcBorders>
            <w:shd w:val="clear" w:color="auto" w:fill="auto"/>
            <w:vAlign w:val="center"/>
          </w:tcPr>
          <w:p>
            <w:pPr>
              <w:jc w:val="center"/>
              <w:rPr>
                <w:rFonts w:ascii="宋体" w:hAnsi="宋体" w:cs="宋体"/>
                <w:color w:val="000000"/>
                <w:szCs w:val="21"/>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耐火隔热性≥</w:t>
            </w:r>
            <w:r>
              <w:rPr>
                <w:rFonts w:cs="Calibri"/>
                <w:color w:val="000000"/>
                <w:kern w:val="0"/>
                <w:szCs w:val="21"/>
                <w:lang w:bidi="ar"/>
              </w:rPr>
              <w:t>0.5h</w:t>
            </w:r>
          </w:p>
        </w:tc>
        <w:tc>
          <w:tcPr>
            <w:tcW w:w="1202" w:type="dxa"/>
            <w:vMerge w:val="restart"/>
            <w:tcBorders>
              <w:top w:val="nil"/>
              <w:left w:val="nil"/>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A0.5</w:t>
            </w:r>
            <w:r>
              <w:rPr>
                <w:rFonts w:hint="eastAsia" w:ascii="宋体" w:hAnsi="宋体" w:cs="宋体"/>
                <w:color w:val="000000"/>
                <w:kern w:val="0"/>
                <w:szCs w:val="21"/>
                <w:lang w:bidi="ar"/>
              </w:rPr>
              <w:t>（丙级）</w:t>
            </w:r>
          </w:p>
        </w:tc>
        <w:tc>
          <w:tcPr>
            <w:tcW w:w="583"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w:t>
            </w:r>
          </w:p>
        </w:tc>
        <w:tc>
          <w:tcPr>
            <w:tcW w:w="1317"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6</w:t>
            </w:r>
          </w:p>
        </w:tc>
        <w:tc>
          <w:tcPr>
            <w:tcW w:w="544"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11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88" w:type="dxa"/>
            <w:vMerge w:val="restart"/>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7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3扇</w:t>
            </w:r>
          </w:p>
        </w:tc>
      </w:tr>
      <w:tr>
        <w:tblPrEx>
          <w:tblCellMar>
            <w:top w:w="0" w:type="dxa"/>
            <w:left w:w="108" w:type="dxa"/>
            <w:bottom w:w="0" w:type="dxa"/>
            <w:right w:w="108" w:type="dxa"/>
          </w:tblCellMar>
        </w:tblPrEx>
        <w:trPr>
          <w:trHeight w:val="591" w:hRule="atLeast"/>
        </w:trPr>
        <w:tc>
          <w:tcPr>
            <w:tcW w:w="5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637" w:type="dxa"/>
            <w:vMerge w:val="continue"/>
            <w:tcBorders>
              <w:top w:val="nil"/>
              <w:left w:val="single" w:color="000000" w:sz="8" w:space="0"/>
              <w:bottom w:val="single" w:color="000000" w:sz="8" w:space="0"/>
              <w:right w:val="nil"/>
            </w:tcBorders>
            <w:shd w:val="clear" w:color="auto" w:fill="auto"/>
            <w:vAlign w:val="center"/>
          </w:tcPr>
          <w:p>
            <w:pPr>
              <w:jc w:val="center"/>
              <w:rPr>
                <w:rFonts w:ascii="宋体" w:hAnsi="宋体" w:cs="宋体"/>
                <w:color w:val="000000"/>
                <w:szCs w:val="21"/>
              </w:rPr>
            </w:pP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耐火完整性≥</w:t>
            </w:r>
            <w:r>
              <w:rPr>
                <w:rFonts w:cs="Calibri"/>
                <w:color w:val="000000"/>
                <w:kern w:val="0"/>
                <w:szCs w:val="21"/>
                <w:lang w:bidi="ar"/>
              </w:rPr>
              <w:t>0.5h</w:t>
            </w:r>
          </w:p>
        </w:tc>
        <w:tc>
          <w:tcPr>
            <w:tcW w:w="1202" w:type="dxa"/>
            <w:vMerge w:val="continue"/>
            <w:tcBorders>
              <w:top w:val="nil"/>
              <w:left w:val="nil"/>
              <w:bottom w:val="single" w:color="000000" w:sz="8" w:space="0"/>
              <w:right w:val="single" w:color="000000" w:sz="8" w:space="0"/>
            </w:tcBorders>
            <w:shd w:val="clear" w:color="auto" w:fill="auto"/>
            <w:vAlign w:val="center"/>
          </w:tcPr>
          <w:p>
            <w:pPr>
              <w:jc w:val="center"/>
              <w:rPr>
                <w:rFonts w:cs="Calibri"/>
                <w:color w:val="000000"/>
                <w:szCs w:val="21"/>
              </w:rPr>
            </w:pPr>
          </w:p>
        </w:tc>
        <w:tc>
          <w:tcPr>
            <w:tcW w:w="583"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317"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544"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11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88"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7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27"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hint="eastAsia" w:cs="Calibri"/>
                <w:color w:val="000000"/>
                <w:kern w:val="0"/>
                <w:szCs w:val="21"/>
                <w:lang w:bidi="ar"/>
              </w:rPr>
              <w:t>4</w:t>
            </w:r>
          </w:p>
        </w:tc>
        <w:tc>
          <w:tcPr>
            <w:tcW w:w="6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闭门器</w:t>
            </w:r>
          </w:p>
        </w:tc>
        <w:tc>
          <w:tcPr>
            <w:tcW w:w="9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w:t>
            </w:r>
          </w:p>
        </w:tc>
        <w:tc>
          <w:tcPr>
            <w:tcW w:w="120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w:t>
            </w:r>
          </w:p>
        </w:tc>
        <w:tc>
          <w:tcPr>
            <w:tcW w:w="58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31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46</w:t>
            </w:r>
          </w:p>
        </w:tc>
        <w:tc>
          <w:tcPr>
            <w:tcW w:w="544" w:type="dxa"/>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11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88" w:type="dxa"/>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071" w:type="dxa"/>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r>
      <w:tr>
        <w:tblPrEx>
          <w:tblCellMar>
            <w:top w:w="0" w:type="dxa"/>
            <w:left w:w="108" w:type="dxa"/>
            <w:bottom w:w="0" w:type="dxa"/>
            <w:right w:w="108" w:type="dxa"/>
          </w:tblCellMar>
        </w:tblPrEx>
        <w:trPr>
          <w:trHeight w:val="312"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hint="eastAsia" w:cs="Calibri"/>
                <w:color w:val="000000"/>
                <w:kern w:val="0"/>
                <w:szCs w:val="21"/>
                <w:lang w:bidi="ar"/>
              </w:rPr>
              <w:t>5</w:t>
            </w:r>
          </w:p>
        </w:tc>
        <w:tc>
          <w:tcPr>
            <w:tcW w:w="6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顺序器</w:t>
            </w:r>
          </w:p>
        </w:tc>
        <w:tc>
          <w:tcPr>
            <w:tcW w:w="9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w:t>
            </w:r>
          </w:p>
        </w:tc>
        <w:tc>
          <w:tcPr>
            <w:tcW w:w="120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w:t>
            </w:r>
          </w:p>
        </w:tc>
        <w:tc>
          <w:tcPr>
            <w:tcW w:w="58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套</w:t>
            </w:r>
          </w:p>
        </w:tc>
        <w:tc>
          <w:tcPr>
            <w:tcW w:w="131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25</w:t>
            </w:r>
          </w:p>
        </w:tc>
        <w:tc>
          <w:tcPr>
            <w:tcW w:w="544" w:type="dxa"/>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11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88" w:type="dxa"/>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071" w:type="dxa"/>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r>
      <w:tr>
        <w:tblPrEx>
          <w:tblCellMar>
            <w:top w:w="0" w:type="dxa"/>
            <w:left w:w="108" w:type="dxa"/>
            <w:bottom w:w="0" w:type="dxa"/>
            <w:right w:w="108" w:type="dxa"/>
          </w:tblCellMar>
        </w:tblPrEx>
        <w:trPr>
          <w:trHeight w:val="879"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hint="eastAsia" w:cs="Calibri"/>
                <w:color w:val="000000"/>
                <w:kern w:val="0"/>
                <w:szCs w:val="21"/>
                <w:lang w:bidi="ar"/>
              </w:rPr>
              <w:t>6</w:t>
            </w:r>
          </w:p>
        </w:tc>
        <w:tc>
          <w:tcPr>
            <w:tcW w:w="63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防火门标识</w:t>
            </w:r>
          </w:p>
        </w:tc>
        <w:tc>
          <w:tcPr>
            <w:tcW w:w="96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w:t>
            </w:r>
          </w:p>
        </w:tc>
        <w:tc>
          <w:tcPr>
            <w:tcW w:w="120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Calibri"/>
                <w:color w:val="000000"/>
                <w:szCs w:val="21"/>
              </w:rPr>
            </w:pPr>
            <w:r>
              <w:rPr>
                <w:rFonts w:cs="Calibri"/>
                <w:color w:val="000000"/>
                <w:kern w:val="0"/>
                <w:szCs w:val="21"/>
                <w:lang w:bidi="ar"/>
              </w:rPr>
              <w:t>/</w:t>
            </w:r>
          </w:p>
        </w:tc>
        <w:tc>
          <w:tcPr>
            <w:tcW w:w="583"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张</w:t>
            </w:r>
          </w:p>
        </w:tc>
        <w:tc>
          <w:tcPr>
            <w:tcW w:w="1317"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200</w:t>
            </w:r>
          </w:p>
        </w:tc>
        <w:tc>
          <w:tcPr>
            <w:tcW w:w="544" w:type="dxa"/>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118" w:type="dxa"/>
            <w:tcBorders>
              <w:top w:val="nil"/>
              <w:left w:val="single" w:color="000000" w:sz="8" w:space="0"/>
              <w:bottom w:val="single" w:color="000000" w:sz="8" w:space="0"/>
              <w:right w:val="single" w:color="000000" w:sz="8" w:space="0"/>
            </w:tcBorders>
            <w:shd w:val="clear" w:color="auto" w:fill="auto"/>
            <w:vAlign w:val="center"/>
          </w:tcPr>
          <w:p>
            <w:pPr>
              <w:jc w:val="center"/>
              <w:rPr>
                <w:rFonts w:ascii="宋体" w:hAnsi="宋体" w:cs="宋体"/>
                <w:color w:val="000000"/>
                <w:szCs w:val="21"/>
              </w:rPr>
            </w:pPr>
          </w:p>
        </w:tc>
        <w:tc>
          <w:tcPr>
            <w:tcW w:w="1088" w:type="dxa"/>
            <w:tcBorders>
              <w:top w:val="nil"/>
              <w:left w:val="single" w:color="000000" w:sz="8" w:space="0"/>
              <w:bottom w:val="single" w:color="000000" w:sz="8" w:space="0"/>
              <w:right w:val="single" w:color="000000" w:sz="8" w:space="0"/>
            </w:tcBorders>
            <w:shd w:val="clear" w:color="auto" w:fill="auto"/>
            <w:vAlign w:val="center"/>
          </w:tcPr>
          <w:p>
            <w:pPr>
              <w:jc w:val="center"/>
              <w:rPr>
                <w:rFonts w:cs="Calibri"/>
                <w:color w:val="000000"/>
                <w:szCs w:val="21"/>
              </w:rPr>
            </w:pPr>
          </w:p>
        </w:tc>
        <w:tc>
          <w:tcPr>
            <w:tcW w:w="1071"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常闭防火门请保持关闭</w:t>
            </w:r>
          </w:p>
        </w:tc>
      </w:tr>
      <w:tr>
        <w:tblPrEx>
          <w:tblCellMar>
            <w:top w:w="0" w:type="dxa"/>
            <w:left w:w="108" w:type="dxa"/>
            <w:bottom w:w="0" w:type="dxa"/>
            <w:right w:w="108" w:type="dxa"/>
          </w:tblCellMar>
        </w:tblPrEx>
        <w:trPr>
          <w:trHeight w:val="342"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7</w:t>
            </w:r>
          </w:p>
        </w:tc>
        <w:tc>
          <w:tcPr>
            <w:tcW w:w="5244" w:type="dxa"/>
            <w:gridSpan w:val="6"/>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总计：（含税价）</w:t>
            </w:r>
          </w:p>
        </w:tc>
        <w:tc>
          <w:tcPr>
            <w:tcW w:w="1118" w:type="dxa"/>
            <w:tcBorders>
              <w:top w:val="nil"/>
              <w:left w:val="single" w:color="000000" w:sz="8" w:space="0"/>
              <w:bottom w:val="single" w:color="000000" w:sz="8" w:space="0"/>
              <w:right w:val="single" w:color="000000" w:sz="8" w:space="0"/>
            </w:tcBorders>
            <w:shd w:val="clear" w:color="auto" w:fill="auto"/>
            <w:vAlign w:val="center"/>
          </w:tcPr>
          <w:p>
            <w:pPr>
              <w:rPr>
                <w:rFonts w:ascii="宋体" w:hAnsi="宋体" w:cs="宋体"/>
                <w:color w:val="000000"/>
                <w:szCs w:val="21"/>
              </w:rPr>
            </w:pPr>
          </w:p>
        </w:tc>
        <w:tc>
          <w:tcPr>
            <w:tcW w:w="1088" w:type="dxa"/>
            <w:tcBorders>
              <w:top w:val="nil"/>
              <w:left w:val="single" w:color="000000" w:sz="8" w:space="0"/>
              <w:bottom w:val="single" w:color="000000" w:sz="8" w:space="0"/>
              <w:right w:val="single" w:color="000000" w:sz="8" w:space="0"/>
            </w:tcBorders>
            <w:shd w:val="clear" w:color="auto" w:fill="auto"/>
            <w:vAlign w:val="center"/>
          </w:tcPr>
          <w:p>
            <w:pPr>
              <w:rPr>
                <w:rFonts w:ascii="宋体" w:hAnsi="宋体" w:cs="宋体"/>
                <w:color w:val="000000"/>
                <w:szCs w:val="21"/>
              </w:rPr>
            </w:pPr>
          </w:p>
        </w:tc>
        <w:tc>
          <w:tcPr>
            <w:tcW w:w="1071" w:type="dxa"/>
            <w:tcBorders>
              <w:top w:val="nil"/>
              <w:left w:val="single" w:color="000000" w:sz="8" w:space="0"/>
              <w:bottom w:val="single" w:color="000000" w:sz="8" w:space="0"/>
              <w:right w:val="single" w:color="000000" w:sz="8" w:space="0"/>
            </w:tcBorders>
            <w:shd w:val="clear" w:color="auto" w:fill="auto"/>
            <w:noWrap/>
            <w:vAlign w:val="center"/>
          </w:tcPr>
          <w:p>
            <w:pPr>
              <w:rPr>
                <w:rFonts w:ascii="宋体" w:hAnsi="宋体" w:cs="宋体"/>
                <w:color w:val="000000"/>
                <w:sz w:val="24"/>
              </w:rPr>
            </w:pPr>
          </w:p>
        </w:tc>
      </w:tr>
    </w:tbl>
    <w:p>
      <w:pPr>
        <w:pStyle w:val="2"/>
      </w:pPr>
    </w:p>
    <w:p/>
    <w:p>
      <w:pPr>
        <w:widowControl/>
        <w:spacing w:line="360" w:lineRule="auto"/>
        <w:jc w:val="left"/>
        <w:rPr>
          <w:rFonts w:ascii="宋体" w:hAnsi="宋体" w:cs="宋体"/>
          <w:b/>
          <w:bCs/>
          <w:kern w:val="0"/>
          <w:sz w:val="24"/>
        </w:rPr>
      </w:pPr>
    </w:p>
    <w:p>
      <w:pPr>
        <w:widowControl/>
        <w:spacing w:line="360" w:lineRule="auto"/>
        <w:jc w:val="left"/>
        <w:rPr>
          <w:rFonts w:ascii="宋体" w:hAnsi="宋体" w:cs="宋体"/>
          <w:kern w:val="0"/>
          <w:sz w:val="24"/>
        </w:rPr>
      </w:pPr>
      <w:r>
        <w:rPr>
          <w:rFonts w:hint="eastAsia" w:ascii="宋体" w:hAnsi="宋体" w:cs="宋体"/>
          <w:b/>
          <w:bCs/>
          <w:kern w:val="0"/>
          <w:sz w:val="24"/>
        </w:rPr>
        <w:t>注：</w:t>
      </w:r>
      <w:r>
        <w:rPr>
          <w:rFonts w:hint="eastAsia" w:ascii="宋体" w:hAnsi="宋体" w:cs="宋体"/>
          <w:b/>
          <w:bCs/>
          <w:sz w:val="24"/>
        </w:rPr>
        <w:t xml:space="preserve">  </w:t>
      </w:r>
      <w:r>
        <w:rPr>
          <w:rFonts w:hint="eastAsia" w:ascii="宋体" w:hAnsi="宋体" w:cs="宋体"/>
          <w:kern w:val="0"/>
          <w:sz w:val="24"/>
        </w:rPr>
        <w:t>1.“报价一览表”为多页的，每页均需由法定代表人或授权代表签字并盖投标人印章。</w:t>
      </w:r>
    </w:p>
    <w:p>
      <w:pPr>
        <w:widowControl/>
        <w:spacing w:line="360" w:lineRule="auto"/>
        <w:ind w:firstLine="720" w:firstLineChars="300"/>
        <w:jc w:val="left"/>
        <w:rPr>
          <w:rFonts w:ascii="宋体" w:hAnsi="宋体" w:cs="宋体"/>
          <w:kern w:val="0"/>
          <w:sz w:val="24"/>
        </w:rPr>
      </w:pPr>
      <w:r>
        <w:rPr>
          <w:rFonts w:hint="eastAsia" w:ascii="宋体" w:hAnsi="宋体" w:cs="宋体"/>
          <w:kern w:val="0"/>
          <w:sz w:val="24"/>
        </w:rPr>
        <w:t>2.“报价一览表”需单独密封。</w:t>
      </w:r>
    </w:p>
    <w:p>
      <w:pPr>
        <w:widowControl/>
        <w:spacing w:line="360" w:lineRule="auto"/>
        <w:ind w:firstLine="723" w:firstLineChars="300"/>
        <w:jc w:val="left"/>
        <w:rPr>
          <w:rFonts w:ascii="宋体" w:hAnsi="宋体" w:cs="宋体"/>
          <w:b/>
          <w:bCs/>
          <w:kern w:val="0"/>
          <w:sz w:val="24"/>
        </w:rPr>
      </w:pPr>
      <w:r>
        <w:rPr>
          <w:rFonts w:hint="eastAsia" w:ascii="宋体" w:hAnsi="宋体" w:cs="宋体"/>
          <w:b/>
          <w:bCs/>
          <w:kern w:val="0"/>
          <w:sz w:val="24"/>
        </w:rPr>
        <w:t>3.防火门报价均统一为双扇门报价，防火门按面积结算，闭门器、顺序器按套结算。</w:t>
      </w:r>
    </w:p>
    <w:p>
      <w:pPr>
        <w:widowControl/>
        <w:spacing w:line="360" w:lineRule="auto"/>
        <w:ind w:firstLine="720" w:firstLineChars="300"/>
        <w:jc w:val="left"/>
        <w:rPr>
          <w:rFonts w:ascii="宋体" w:hAnsi="宋体" w:cs="宋体"/>
          <w:kern w:val="0"/>
          <w:sz w:val="24"/>
        </w:rPr>
      </w:pPr>
      <w:r>
        <w:rPr>
          <w:rFonts w:hint="eastAsia" w:ascii="宋体" w:hAnsi="宋体" w:cs="宋体"/>
          <w:kern w:val="0"/>
          <w:sz w:val="24"/>
        </w:rPr>
        <w:t>4. “报价一览表”为多页的，每页均需由法定代表人或授权代表签字并盖投标人印</w:t>
      </w:r>
    </w:p>
    <w:p>
      <w:pPr>
        <w:widowControl/>
        <w:spacing w:line="360" w:lineRule="auto"/>
        <w:ind w:firstLine="720" w:firstLineChars="300"/>
        <w:jc w:val="left"/>
        <w:rPr>
          <w:rFonts w:ascii="宋体" w:hAnsi="宋体" w:cs="宋体"/>
          <w:kern w:val="0"/>
          <w:sz w:val="24"/>
        </w:rPr>
      </w:pPr>
      <w:r>
        <w:rPr>
          <w:rFonts w:hint="eastAsia" w:ascii="宋体" w:hAnsi="宋体" w:cs="宋体"/>
          <w:kern w:val="0"/>
          <w:sz w:val="24"/>
        </w:rPr>
        <w:t>5. “报价一览表”需单独密封。</w:t>
      </w:r>
    </w:p>
    <w:p>
      <w:pPr>
        <w:widowControl/>
        <w:spacing w:line="360" w:lineRule="auto"/>
        <w:jc w:val="left"/>
        <w:rPr>
          <w:rFonts w:ascii="宋体" w:hAnsi="宋体" w:cs="宋体"/>
          <w:kern w:val="0"/>
          <w:sz w:val="24"/>
        </w:rPr>
      </w:pPr>
      <w:r>
        <w:rPr>
          <w:rFonts w:hint="eastAsia" w:ascii="宋体" w:hAnsi="宋体" w:cs="宋体"/>
          <w:kern w:val="0"/>
          <w:sz w:val="24"/>
        </w:rPr>
        <w:t xml:space="preserve">供应商名称（盖章）：        </w:t>
      </w:r>
    </w:p>
    <w:p>
      <w:pPr>
        <w:widowControl/>
        <w:spacing w:line="360" w:lineRule="auto"/>
        <w:jc w:val="left"/>
        <w:rPr>
          <w:rFonts w:ascii="宋体" w:hAnsi="宋体" w:cs="宋体"/>
          <w:kern w:val="0"/>
          <w:sz w:val="24"/>
        </w:rPr>
      </w:pPr>
      <w:r>
        <w:rPr>
          <w:rFonts w:hint="eastAsia" w:ascii="宋体" w:hAnsi="宋体" w:cs="宋体"/>
          <w:kern w:val="0"/>
          <w:sz w:val="24"/>
        </w:rPr>
        <w:t xml:space="preserve">法定代表人或授权代表人（签字）：     </w:t>
      </w:r>
    </w:p>
    <w:p>
      <w:pPr>
        <w:widowControl/>
        <w:spacing w:line="360" w:lineRule="auto"/>
        <w:jc w:val="left"/>
        <w:rPr>
          <w:rFonts w:ascii="宋体" w:hAnsi="宋体" w:cs="宋体"/>
          <w:kern w:val="0"/>
          <w:sz w:val="24"/>
        </w:rPr>
      </w:pPr>
      <w:r>
        <w:rPr>
          <w:rFonts w:hint="eastAsia" w:ascii="宋体" w:hAnsi="宋体" w:cs="宋体"/>
          <w:kern w:val="0"/>
          <w:sz w:val="24"/>
        </w:rPr>
        <w:t>日期：</w:t>
      </w:r>
    </w:p>
    <w:p>
      <w:pPr>
        <w:widowControl/>
        <w:spacing w:line="360" w:lineRule="auto"/>
        <w:jc w:val="left"/>
        <w:rPr>
          <w:rFonts w:ascii="宋体" w:hAnsi="宋体" w:cs="宋体"/>
          <w:kern w:val="0"/>
          <w:sz w:val="24"/>
        </w:rPr>
      </w:pPr>
      <w:r>
        <w:rPr>
          <w:rFonts w:hint="eastAsia" w:ascii="宋体" w:hAnsi="宋体" w:cs="宋体"/>
          <w:kern w:val="0"/>
          <w:sz w:val="24"/>
        </w:rPr>
        <w:t xml:space="preserve"> </w:t>
      </w:r>
    </w:p>
    <w:p>
      <w:pPr>
        <w:widowControl/>
        <w:spacing w:line="360" w:lineRule="auto"/>
        <w:jc w:val="center"/>
        <w:rPr>
          <w:rFonts w:ascii="宋体" w:hAnsi="宋体" w:cs="宋体"/>
          <w:kern w:val="0"/>
          <w:sz w:val="24"/>
        </w:rPr>
      </w:pPr>
    </w:p>
    <w:p>
      <w:pPr>
        <w:widowControl/>
        <w:spacing w:line="360" w:lineRule="auto"/>
        <w:jc w:val="left"/>
        <w:rPr>
          <w:rFonts w:ascii="宋体" w:hAnsi="宋体" w:cs="宋体"/>
          <w:b/>
          <w:sz w:val="24"/>
          <w:lang w:val="zh-CN"/>
        </w:rPr>
      </w:pPr>
    </w:p>
    <w:p>
      <w:pPr>
        <w:pStyle w:val="2"/>
        <w:spacing w:line="360" w:lineRule="auto"/>
        <w:rPr>
          <w:rFonts w:ascii="宋体" w:hAnsi="宋体" w:cs="宋体"/>
          <w:b/>
          <w:sz w:val="24"/>
          <w:lang w:val="zh-CN"/>
        </w:rPr>
      </w:pPr>
    </w:p>
    <w:p>
      <w:pPr>
        <w:spacing w:line="360" w:lineRule="auto"/>
        <w:rPr>
          <w:rFonts w:ascii="宋体" w:hAnsi="宋体" w:cs="宋体"/>
          <w:b/>
          <w:sz w:val="24"/>
          <w:lang w:val="zh-CN"/>
        </w:rPr>
      </w:pPr>
    </w:p>
    <w:p>
      <w:pPr>
        <w:pStyle w:val="3"/>
        <w:tabs>
          <w:tab w:val="left" w:pos="540"/>
        </w:tabs>
        <w:spacing w:beforeAutospacing="0" w:afterAutospacing="0" w:line="360" w:lineRule="auto"/>
        <w:ind w:left="720" w:hanging="720"/>
        <w:jc w:val="center"/>
        <w:rPr>
          <w:bCs w:val="0"/>
          <w:sz w:val="24"/>
          <w:szCs w:val="24"/>
          <w:lang w:val="zh-CN"/>
        </w:rPr>
      </w:pPr>
    </w:p>
    <w:p>
      <w:pPr>
        <w:pStyle w:val="3"/>
        <w:tabs>
          <w:tab w:val="left" w:pos="540"/>
        </w:tabs>
        <w:spacing w:beforeAutospacing="0" w:afterAutospacing="0" w:line="360" w:lineRule="auto"/>
        <w:ind w:left="720" w:hanging="720"/>
        <w:jc w:val="center"/>
        <w:rPr>
          <w:bCs w:val="0"/>
          <w:sz w:val="24"/>
          <w:szCs w:val="24"/>
          <w:lang w:val="zh-CN"/>
        </w:rPr>
      </w:pPr>
    </w:p>
    <w:p>
      <w:pPr>
        <w:pStyle w:val="3"/>
        <w:tabs>
          <w:tab w:val="left" w:pos="540"/>
        </w:tabs>
        <w:spacing w:beforeAutospacing="0" w:afterAutospacing="0" w:line="360" w:lineRule="auto"/>
        <w:ind w:left="720" w:hanging="720"/>
        <w:jc w:val="center"/>
        <w:rPr>
          <w:bCs w:val="0"/>
          <w:sz w:val="24"/>
          <w:szCs w:val="24"/>
          <w:lang w:val="zh-CN"/>
        </w:rPr>
      </w:pPr>
    </w:p>
    <w:p>
      <w:pPr>
        <w:pStyle w:val="8"/>
        <w:spacing w:line="360" w:lineRule="auto"/>
        <w:jc w:val="left"/>
        <w:rPr>
          <w:rFonts w:ascii="宋体" w:hAnsi="宋体" w:cs="宋体"/>
          <w:b/>
          <w:bCs/>
          <w:sz w:val="24"/>
        </w:rPr>
      </w:pPr>
    </w:p>
    <w:p>
      <w:pPr>
        <w:pStyle w:val="8"/>
        <w:spacing w:line="360" w:lineRule="auto"/>
        <w:jc w:val="left"/>
        <w:rPr>
          <w:rFonts w:ascii="宋体" w:hAnsi="宋体" w:cs="宋体"/>
          <w:b/>
          <w:bCs/>
          <w:sz w:val="24"/>
        </w:rPr>
      </w:pPr>
    </w:p>
    <w:p>
      <w:pPr>
        <w:pStyle w:val="8"/>
        <w:spacing w:line="360" w:lineRule="auto"/>
        <w:jc w:val="left"/>
        <w:rPr>
          <w:rFonts w:ascii="宋体" w:hAnsi="宋体" w:cs="宋体"/>
          <w:b/>
          <w:bCs/>
          <w:sz w:val="24"/>
        </w:rPr>
      </w:pPr>
    </w:p>
    <w:p>
      <w:pPr>
        <w:pStyle w:val="8"/>
        <w:spacing w:line="360" w:lineRule="auto"/>
        <w:jc w:val="left"/>
        <w:rPr>
          <w:rFonts w:ascii="宋体" w:hAnsi="宋体" w:cs="宋体"/>
          <w:b/>
          <w:bCs/>
          <w:sz w:val="24"/>
        </w:rPr>
      </w:pPr>
    </w:p>
    <w:p>
      <w:pPr>
        <w:pStyle w:val="8"/>
        <w:spacing w:line="360" w:lineRule="auto"/>
        <w:jc w:val="left"/>
        <w:rPr>
          <w:rFonts w:ascii="宋体" w:hAnsi="宋体" w:cs="宋体"/>
          <w:b/>
          <w:bCs/>
          <w:sz w:val="24"/>
        </w:rPr>
      </w:pPr>
    </w:p>
    <w:p>
      <w:pPr>
        <w:pStyle w:val="8"/>
        <w:spacing w:line="360" w:lineRule="auto"/>
        <w:jc w:val="left"/>
        <w:rPr>
          <w:rFonts w:ascii="宋体" w:hAnsi="宋体" w:cs="宋体"/>
          <w:b/>
          <w:bCs/>
          <w:sz w:val="24"/>
        </w:rPr>
      </w:pPr>
    </w:p>
    <w:p>
      <w:pPr>
        <w:pStyle w:val="8"/>
        <w:spacing w:line="360" w:lineRule="auto"/>
        <w:jc w:val="left"/>
        <w:rPr>
          <w:rFonts w:ascii="宋体" w:hAnsi="宋体" w:cs="宋体"/>
          <w:b/>
          <w:bCs/>
          <w:sz w:val="24"/>
        </w:rPr>
      </w:pPr>
    </w:p>
    <w:p>
      <w:pPr>
        <w:pStyle w:val="8"/>
        <w:spacing w:line="360" w:lineRule="auto"/>
        <w:jc w:val="left"/>
        <w:rPr>
          <w:rFonts w:ascii="宋体" w:hAnsi="宋体" w:cs="宋体"/>
          <w:b/>
          <w:bCs/>
          <w:sz w:val="24"/>
        </w:rPr>
      </w:pPr>
    </w:p>
    <w:p>
      <w:pPr>
        <w:pStyle w:val="8"/>
        <w:spacing w:line="360" w:lineRule="auto"/>
        <w:jc w:val="left"/>
        <w:rPr>
          <w:rFonts w:ascii="宋体" w:hAnsi="宋体" w:cs="宋体"/>
          <w:b/>
          <w:bCs/>
          <w:sz w:val="24"/>
        </w:rPr>
      </w:pPr>
    </w:p>
    <w:p>
      <w:pPr>
        <w:pStyle w:val="8"/>
        <w:spacing w:line="360" w:lineRule="auto"/>
        <w:jc w:val="left"/>
        <w:rPr>
          <w:rFonts w:ascii="宋体" w:hAnsi="宋体" w:cs="宋体"/>
          <w:b/>
          <w:bCs/>
          <w:sz w:val="24"/>
        </w:rPr>
      </w:pPr>
    </w:p>
    <w:p>
      <w:pPr>
        <w:pStyle w:val="8"/>
        <w:spacing w:line="360" w:lineRule="auto"/>
        <w:jc w:val="left"/>
        <w:rPr>
          <w:rFonts w:ascii="宋体" w:hAnsi="宋体" w:cs="宋体"/>
          <w:b/>
          <w:bCs/>
          <w:sz w:val="24"/>
        </w:rPr>
      </w:pPr>
    </w:p>
    <w:p>
      <w:pPr>
        <w:pStyle w:val="8"/>
        <w:spacing w:line="360" w:lineRule="auto"/>
        <w:jc w:val="left"/>
        <w:rPr>
          <w:rFonts w:hint="eastAsia" w:ascii="宋体" w:hAnsi="宋体" w:cs="宋体"/>
          <w:b/>
          <w:bCs/>
          <w:sz w:val="24"/>
        </w:rPr>
      </w:pPr>
    </w:p>
    <w:p>
      <w:pPr>
        <w:pStyle w:val="8"/>
        <w:spacing w:line="360" w:lineRule="auto"/>
        <w:jc w:val="left"/>
        <w:rPr>
          <w:rFonts w:hint="eastAsia" w:ascii="宋体" w:hAnsi="宋体" w:cs="宋体"/>
          <w:b/>
          <w:bCs/>
          <w:sz w:val="24"/>
        </w:rPr>
      </w:pPr>
    </w:p>
    <w:p>
      <w:pPr>
        <w:pStyle w:val="8"/>
        <w:spacing w:line="360" w:lineRule="auto"/>
        <w:jc w:val="left"/>
        <w:rPr>
          <w:rFonts w:hint="eastAsia" w:ascii="宋体" w:hAnsi="宋体" w:cs="宋体"/>
          <w:b/>
          <w:bCs/>
          <w:sz w:val="24"/>
        </w:rPr>
      </w:pPr>
    </w:p>
    <w:p>
      <w:pPr>
        <w:pStyle w:val="8"/>
        <w:spacing w:line="360" w:lineRule="auto"/>
        <w:jc w:val="left"/>
        <w:rPr>
          <w:rFonts w:ascii="宋体" w:hAnsi="宋体" w:cs="宋体"/>
          <w:b/>
          <w:bCs/>
          <w:sz w:val="24"/>
        </w:rPr>
      </w:pPr>
      <w:r>
        <w:rPr>
          <w:rFonts w:hint="eastAsia" w:ascii="宋体" w:hAnsi="宋体" w:cs="宋体"/>
          <w:b/>
          <w:bCs/>
          <w:sz w:val="24"/>
        </w:rPr>
        <w:t>2-2</w:t>
      </w:r>
    </w:p>
    <w:p>
      <w:pPr>
        <w:pStyle w:val="3"/>
        <w:tabs>
          <w:tab w:val="left" w:pos="540"/>
        </w:tabs>
        <w:spacing w:beforeAutospacing="0" w:afterAutospacing="0" w:line="360" w:lineRule="auto"/>
        <w:ind w:left="720" w:hanging="720"/>
        <w:jc w:val="center"/>
        <w:rPr>
          <w:bCs w:val="0"/>
          <w:sz w:val="24"/>
          <w:szCs w:val="24"/>
          <w:lang w:val="zh-CN"/>
        </w:rPr>
      </w:pPr>
    </w:p>
    <w:p>
      <w:pPr>
        <w:pStyle w:val="3"/>
        <w:tabs>
          <w:tab w:val="left" w:pos="540"/>
        </w:tabs>
        <w:spacing w:beforeAutospacing="0" w:afterAutospacing="0" w:line="360" w:lineRule="auto"/>
        <w:ind w:left="720" w:hanging="720"/>
        <w:jc w:val="center"/>
        <w:rPr>
          <w:bCs w:val="0"/>
          <w:sz w:val="24"/>
          <w:szCs w:val="24"/>
          <w:lang w:val="zh-CN"/>
        </w:rPr>
      </w:pPr>
      <w:r>
        <w:rPr>
          <w:rFonts w:hint="eastAsia"/>
          <w:bCs w:val="0"/>
          <w:sz w:val="24"/>
          <w:szCs w:val="24"/>
          <w:lang w:val="zh-CN"/>
        </w:rPr>
        <w:t>法定代表人身份授权书</w:t>
      </w:r>
    </w:p>
    <w:p>
      <w:pPr>
        <w:spacing w:line="360" w:lineRule="auto"/>
        <w:rPr>
          <w:rFonts w:ascii="宋体" w:hAnsi="宋体" w:cs="宋体"/>
          <w:sz w:val="24"/>
          <w:lang w:val="zh-CN"/>
        </w:rPr>
      </w:pPr>
    </w:p>
    <w:p>
      <w:pPr>
        <w:tabs>
          <w:tab w:val="left" w:pos="6300"/>
        </w:tabs>
        <w:spacing w:line="360" w:lineRule="auto"/>
        <w:rPr>
          <w:rFonts w:ascii="宋体" w:hAnsi="宋体" w:cs="宋体"/>
          <w:sz w:val="24"/>
          <w:lang w:val="zh-CN"/>
        </w:rPr>
      </w:pPr>
      <w:r>
        <w:rPr>
          <w:rFonts w:hint="eastAsia" w:ascii="宋体" w:hAnsi="宋体" w:cs="宋体"/>
          <w:sz w:val="24"/>
          <w:u w:val="single"/>
        </w:rPr>
        <w:t xml:space="preserve">四川省妇幼保健院 </w:t>
      </w:r>
      <w:r>
        <w:rPr>
          <w:rFonts w:hint="eastAsia" w:ascii="宋体" w:hAnsi="宋体" w:cs="宋体"/>
          <w:sz w:val="24"/>
          <w:lang w:val="zh-CN"/>
        </w:rPr>
        <w:t>：</w:t>
      </w:r>
    </w:p>
    <w:p>
      <w:pPr>
        <w:tabs>
          <w:tab w:val="left" w:pos="720"/>
          <w:tab w:val="left" w:pos="6300"/>
        </w:tabs>
        <w:spacing w:line="360" w:lineRule="auto"/>
        <w:ind w:firstLine="573"/>
        <w:rPr>
          <w:rFonts w:ascii="宋体" w:hAnsi="宋体" w:cs="宋体"/>
          <w:sz w:val="24"/>
          <w:u w:val="single"/>
          <w:lang w:val="zh-CN"/>
        </w:rPr>
      </w:pPr>
      <w:r>
        <w:rPr>
          <w:rFonts w:hint="eastAsia" w:ascii="宋体" w:hAnsi="宋体" w:cs="宋体"/>
          <w:sz w:val="24"/>
          <w:lang w:val="zh-CN"/>
        </w:rPr>
        <w:t xml:space="preserve">   本授权声明：</w:t>
      </w:r>
      <w:r>
        <w:rPr>
          <w:rFonts w:hint="eastAsia" w:ascii="宋体" w:hAnsi="宋体" w:cs="宋体"/>
          <w:sz w:val="24"/>
          <w:u w:val="single"/>
          <w:lang w:val="zh-CN"/>
        </w:rPr>
        <w:t xml:space="preserve">                         </w:t>
      </w:r>
      <w:r>
        <w:rPr>
          <w:rFonts w:hint="eastAsia" w:ascii="宋体" w:hAnsi="宋体" w:cs="宋体"/>
          <w:sz w:val="24"/>
          <w:lang w:val="zh-CN"/>
        </w:rPr>
        <w:t>（投标人名称）</w:t>
      </w:r>
      <w:r>
        <w:rPr>
          <w:rFonts w:hint="eastAsia" w:ascii="宋体" w:hAnsi="宋体" w:cs="宋体"/>
          <w:sz w:val="24"/>
          <w:u w:val="single"/>
          <w:lang w:val="zh-CN"/>
        </w:rPr>
        <w:t xml:space="preserve">           </w:t>
      </w:r>
    </w:p>
    <w:p>
      <w:pPr>
        <w:tabs>
          <w:tab w:val="left" w:pos="720"/>
          <w:tab w:val="left" w:pos="6300"/>
        </w:tabs>
        <w:spacing w:line="360" w:lineRule="auto"/>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（法定代表人姓名、职务）授权</w:t>
      </w:r>
      <w:r>
        <w:rPr>
          <w:rFonts w:hint="eastAsia" w:ascii="宋体" w:hAnsi="宋体" w:cs="宋体"/>
          <w:sz w:val="24"/>
          <w:u w:val="single"/>
          <w:lang w:val="zh-CN"/>
        </w:rPr>
        <w:t xml:space="preserve">                          </w:t>
      </w:r>
      <w:r>
        <w:rPr>
          <w:rFonts w:hint="eastAsia" w:ascii="宋体" w:hAnsi="宋体" w:cs="宋体"/>
          <w:sz w:val="24"/>
          <w:lang w:val="zh-CN"/>
        </w:rPr>
        <w:t>（被授权人姓名、职务）为我方</w:t>
      </w:r>
      <w:r>
        <w:rPr>
          <w:rFonts w:hint="eastAsia" w:ascii="宋体" w:hAnsi="宋体" w:cs="宋体"/>
          <w:sz w:val="24"/>
          <w:u w:val="single"/>
          <w:lang w:val="zh-CN"/>
        </w:rPr>
        <w:t xml:space="preserve"> “                                          ”</w:t>
      </w:r>
      <w:r>
        <w:rPr>
          <w:rFonts w:hint="eastAsia" w:ascii="宋体" w:hAnsi="宋体" w:cs="宋体"/>
          <w:sz w:val="24"/>
          <w:lang w:val="zh-CN"/>
        </w:rPr>
        <w:t>项目投标活动的合法代表，以我方名义全权处理该项目有关投标、签订合同以及执行合同等一切事宜。</w:t>
      </w:r>
    </w:p>
    <w:p>
      <w:pPr>
        <w:tabs>
          <w:tab w:val="left" w:pos="6300"/>
        </w:tabs>
        <w:spacing w:line="360" w:lineRule="auto"/>
        <w:ind w:firstLine="573"/>
        <w:rPr>
          <w:rFonts w:ascii="宋体" w:hAnsi="宋体" w:cs="宋体"/>
          <w:sz w:val="24"/>
        </w:rPr>
      </w:pPr>
      <w:r>
        <w:rPr>
          <w:rFonts w:hint="eastAsia" w:ascii="宋体" w:hAnsi="宋体" w:cs="宋体"/>
          <w:sz w:val="24"/>
        </w:rPr>
        <w:t>特此声明。</w:t>
      </w:r>
    </w:p>
    <w:p>
      <w:pPr>
        <w:tabs>
          <w:tab w:val="left" w:pos="6300"/>
        </w:tabs>
        <w:spacing w:line="360" w:lineRule="auto"/>
        <w:ind w:firstLine="573"/>
        <w:rPr>
          <w:rFonts w:ascii="宋体" w:hAnsi="宋体" w:cs="宋体"/>
          <w:sz w:val="24"/>
        </w:rPr>
      </w:pPr>
      <w:r>
        <w:rPr>
          <w:rFonts w:hint="eastAsia" w:ascii="宋体" w:hAnsi="宋体" w:cs="宋体"/>
          <w:sz w:val="24"/>
        </w:rPr>
        <w:t>法定代表人签字或盖章：</w:t>
      </w:r>
    </w:p>
    <w:p>
      <w:pPr>
        <w:tabs>
          <w:tab w:val="left" w:pos="6300"/>
        </w:tabs>
        <w:spacing w:line="360" w:lineRule="auto"/>
        <w:ind w:firstLine="573"/>
        <w:rPr>
          <w:rFonts w:ascii="宋体" w:hAnsi="宋体" w:cs="宋体"/>
          <w:sz w:val="24"/>
        </w:rPr>
      </w:pPr>
      <w:r>
        <w:rPr>
          <w:rFonts w:hint="eastAsia" w:ascii="宋体" w:hAnsi="宋体" w:cs="宋体"/>
          <w:sz w:val="24"/>
        </w:rPr>
        <w:t>授权代表人签字或盖章：</w:t>
      </w:r>
    </w:p>
    <w:p>
      <w:pPr>
        <w:spacing w:line="360" w:lineRule="auto"/>
        <w:ind w:firstLine="480"/>
        <w:rPr>
          <w:rFonts w:ascii="宋体" w:hAnsi="宋体" w:cs="宋体"/>
          <w:sz w:val="24"/>
        </w:rPr>
      </w:pPr>
      <w:r>
        <w:rPr>
          <w:rFonts w:hint="eastAsia" w:ascii="宋体" w:hAnsi="宋体" w:cs="宋体"/>
          <w:sz w:val="24"/>
        </w:rPr>
        <w:t>投标供应商名称：</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 xml:space="preserve">      （加盖公章）</w:t>
      </w:r>
    </w:p>
    <w:p>
      <w:pPr>
        <w:spacing w:line="360" w:lineRule="auto"/>
        <w:ind w:firstLine="480"/>
        <w:rPr>
          <w:rFonts w:ascii="宋体" w:hAnsi="宋体" w:cs="宋体"/>
          <w:sz w:val="24"/>
        </w:rPr>
      </w:pPr>
      <w:r>
        <w:rPr>
          <w:rFonts w:hint="eastAsia" w:ascii="宋体" w:hAnsi="宋体" w:cs="宋体"/>
          <w:sz w:val="24"/>
        </w:rPr>
        <w:t>日期：</w:t>
      </w:r>
    </w:p>
    <w:p>
      <w:pPr>
        <w:numPr>
          <w:ilvl w:val="0"/>
          <w:numId w:val="4"/>
        </w:numPr>
        <w:tabs>
          <w:tab w:val="left" w:pos="6300"/>
        </w:tabs>
        <w:spacing w:line="360" w:lineRule="auto"/>
        <w:rPr>
          <w:rFonts w:ascii="宋体" w:hAnsi="宋体" w:cs="宋体"/>
          <w:sz w:val="24"/>
        </w:rPr>
      </w:pPr>
      <w:r>
        <w:rPr>
          <w:rFonts w:hint="eastAsia" w:ascii="宋体" w:hAnsi="宋体" w:cs="宋体"/>
          <w:sz w:val="24"/>
        </w:rPr>
        <w:t>说明：上述证明文件须附法定代表人、被授权代表身份证复印件（加盖公章）时才能生效。</w:t>
      </w:r>
    </w:p>
    <w:p>
      <w:pPr>
        <w:widowControl/>
        <w:spacing w:line="360" w:lineRule="auto"/>
        <w:ind w:firstLine="640"/>
        <w:jc w:val="left"/>
        <w:rPr>
          <w:rFonts w:ascii="宋体" w:hAnsi="宋体" w:cs="宋体"/>
          <w:kern w:val="0"/>
          <w:sz w:val="24"/>
        </w:rPr>
      </w:pPr>
    </w:p>
    <w:p>
      <w:pPr>
        <w:widowControl/>
        <w:spacing w:line="360" w:lineRule="auto"/>
        <w:ind w:firstLine="640"/>
        <w:jc w:val="left"/>
        <w:rPr>
          <w:rFonts w:ascii="宋体" w:hAnsi="宋体" w:cs="宋体"/>
          <w:kern w:val="0"/>
          <w:sz w:val="24"/>
        </w:rPr>
      </w:pPr>
    </w:p>
    <w:p>
      <w:pPr>
        <w:pStyle w:val="5"/>
        <w:spacing w:line="360" w:lineRule="auto"/>
        <w:rPr>
          <w:rFonts w:hAnsi="宋体" w:eastAsia="宋体" w:cs="宋体"/>
          <w:kern w:val="0"/>
          <w:sz w:val="24"/>
          <w:szCs w:val="24"/>
        </w:rPr>
      </w:pPr>
    </w:p>
    <w:p>
      <w:pPr>
        <w:pStyle w:val="5"/>
        <w:spacing w:line="360" w:lineRule="auto"/>
        <w:rPr>
          <w:rFonts w:hAnsi="宋体" w:eastAsia="宋体" w:cs="宋体"/>
          <w:kern w:val="0"/>
          <w:sz w:val="24"/>
          <w:szCs w:val="24"/>
        </w:rPr>
      </w:pPr>
    </w:p>
    <w:p>
      <w:pPr>
        <w:pStyle w:val="5"/>
        <w:spacing w:line="360" w:lineRule="auto"/>
        <w:rPr>
          <w:rFonts w:hAnsi="宋体" w:eastAsia="宋体" w:cs="宋体"/>
          <w:kern w:val="0"/>
          <w:sz w:val="24"/>
          <w:szCs w:val="24"/>
        </w:rPr>
      </w:pPr>
    </w:p>
    <w:p>
      <w:pPr>
        <w:pStyle w:val="2"/>
        <w:spacing w:line="360" w:lineRule="auto"/>
        <w:rPr>
          <w:rFonts w:ascii="宋体" w:hAnsi="宋体" w:cs="宋体"/>
          <w:b/>
          <w:bCs/>
          <w:sz w:val="24"/>
        </w:rPr>
      </w:pPr>
    </w:p>
    <w:p>
      <w:pPr>
        <w:spacing w:line="360" w:lineRule="auto"/>
        <w:rPr>
          <w:rFonts w:ascii="宋体" w:hAnsi="宋体" w:cs="宋体"/>
          <w:b/>
          <w:bCs/>
          <w:sz w:val="24"/>
        </w:rPr>
      </w:pPr>
    </w:p>
    <w:p>
      <w:pPr>
        <w:pStyle w:val="2"/>
        <w:spacing w:line="360" w:lineRule="auto"/>
        <w:jc w:val="center"/>
        <w:rPr>
          <w:rFonts w:ascii="宋体" w:hAnsi="宋体" w:cs="宋体"/>
          <w:b/>
          <w:bCs/>
          <w:sz w:val="24"/>
        </w:rPr>
      </w:pPr>
    </w:p>
    <w:p>
      <w:pPr>
        <w:pStyle w:val="2"/>
        <w:spacing w:line="360" w:lineRule="auto"/>
        <w:jc w:val="center"/>
        <w:rPr>
          <w:rFonts w:ascii="宋体" w:hAnsi="宋体" w:cs="宋体"/>
          <w:b/>
          <w:bCs/>
          <w:sz w:val="24"/>
        </w:rPr>
      </w:pPr>
    </w:p>
    <w:p>
      <w:pPr>
        <w:pStyle w:val="2"/>
        <w:spacing w:line="360" w:lineRule="auto"/>
        <w:jc w:val="center"/>
        <w:rPr>
          <w:rFonts w:ascii="宋体" w:hAnsi="宋体" w:cs="宋体"/>
          <w:b/>
          <w:bCs/>
          <w:sz w:val="24"/>
        </w:rPr>
      </w:pPr>
    </w:p>
    <w:p>
      <w:pPr>
        <w:pStyle w:val="2"/>
        <w:spacing w:line="360" w:lineRule="auto"/>
        <w:jc w:val="center"/>
        <w:rPr>
          <w:rFonts w:ascii="宋体" w:hAnsi="宋体" w:cs="宋体"/>
          <w:b/>
          <w:bCs/>
          <w:sz w:val="24"/>
        </w:rPr>
      </w:pPr>
    </w:p>
    <w:p>
      <w:pPr>
        <w:pStyle w:val="2"/>
        <w:spacing w:line="360" w:lineRule="auto"/>
        <w:jc w:val="center"/>
        <w:rPr>
          <w:rFonts w:ascii="宋体" w:hAnsi="宋体" w:cs="宋体"/>
          <w:b/>
          <w:bCs/>
          <w:sz w:val="24"/>
        </w:rPr>
      </w:pPr>
    </w:p>
    <w:p>
      <w:pPr>
        <w:pStyle w:val="2"/>
        <w:spacing w:line="360" w:lineRule="auto"/>
        <w:jc w:val="center"/>
        <w:rPr>
          <w:rFonts w:ascii="宋体" w:hAnsi="宋体" w:cs="宋体"/>
          <w:b/>
          <w:bCs/>
          <w:sz w:val="24"/>
        </w:rPr>
      </w:pPr>
    </w:p>
    <w:p>
      <w:pPr>
        <w:pStyle w:val="2"/>
        <w:spacing w:line="360" w:lineRule="auto"/>
        <w:jc w:val="center"/>
        <w:rPr>
          <w:rFonts w:ascii="宋体" w:hAnsi="宋体" w:cs="宋体"/>
          <w:b/>
          <w:bCs/>
          <w:sz w:val="24"/>
        </w:rPr>
      </w:pPr>
    </w:p>
    <w:p>
      <w:pPr>
        <w:pStyle w:val="2"/>
        <w:spacing w:line="360" w:lineRule="auto"/>
        <w:jc w:val="left"/>
        <w:rPr>
          <w:rFonts w:ascii="宋体" w:hAnsi="宋体" w:cs="宋体"/>
          <w:b/>
          <w:bCs/>
          <w:sz w:val="24"/>
        </w:rPr>
      </w:pPr>
      <w:r>
        <w:rPr>
          <w:rFonts w:hint="eastAsia" w:ascii="宋体" w:hAnsi="宋体" w:cs="宋体"/>
          <w:b/>
          <w:bCs/>
          <w:sz w:val="24"/>
        </w:rPr>
        <w:t>2-3</w:t>
      </w:r>
    </w:p>
    <w:p>
      <w:pPr>
        <w:pStyle w:val="2"/>
        <w:spacing w:line="360" w:lineRule="auto"/>
        <w:jc w:val="center"/>
        <w:rPr>
          <w:rFonts w:ascii="宋体" w:hAnsi="宋体" w:cs="宋体"/>
          <w:b/>
          <w:bCs/>
          <w:sz w:val="24"/>
        </w:rPr>
      </w:pPr>
    </w:p>
    <w:p>
      <w:pPr>
        <w:pStyle w:val="2"/>
        <w:spacing w:line="360" w:lineRule="auto"/>
        <w:jc w:val="center"/>
        <w:rPr>
          <w:rFonts w:ascii="宋体" w:hAnsi="宋体" w:cs="宋体"/>
          <w:b/>
          <w:bCs/>
          <w:sz w:val="24"/>
        </w:rPr>
      </w:pPr>
    </w:p>
    <w:p>
      <w:pPr>
        <w:pStyle w:val="2"/>
        <w:spacing w:line="360" w:lineRule="auto"/>
        <w:jc w:val="center"/>
        <w:rPr>
          <w:rFonts w:ascii="宋体" w:hAnsi="宋体" w:cs="宋体"/>
          <w:sz w:val="24"/>
        </w:rPr>
      </w:pPr>
      <w:r>
        <w:rPr>
          <w:rFonts w:hint="eastAsia" w:ascii="宋体" w:hAnsi="宋体" w:cs="宋体"/>
          <w:b/>
          <w:bCs/>
          <w:sz w:val="24"/>
        </w:rPr>
        <w:t>无围标、串标行为承诺书</w:t>
      </w:r>
    </w:p>
    <w:p>
      <w:pPr>
        <w:spacing w:line="360" w:lineRule="auto"/>
        <w:ind w:firstLine="640"/>
        <w:rPr>
          <w:rFonts w:ascii="宋体" w:hAnsi="宋体" w:cs="宋体"/>
          <w:sz w:val="24"/>
        </w:rPr>
      </w:pPr>
      <w:r>
        <w:rPr>
          <w:rFonts w:hint="eastAsia" w:ascii="宋体" w:hAnsi="宋体" w:cs="宋体"/>
          <w:sz w:val="24"/>
        </w:rPr>
        <w:t>本公司郑重承诺：我公司自觉遵守《中华人民共和国政府采购法》和《中华人民共和国政府采购法实施条例》的有关规定，我公司在参加本次项目（项目名称：XXXXXXX）采购活动中，无以下围标、串标行为：</w:t>
      </w:r>
    </w:p>
    <w:p>
      <w:pPr>
        <w:pStyle w:val="2"/>
        <w:spacing w:line="360" w:lineRule="auto"/>
        <w:ind w:firstLine="480" w:firstLineChars="200"/>
        <w:rPr>
          <w:rFonts w:ascii="宋体" w:hAnsi="宋体" w:cs="宋体"/>
          <w:sz w:val="24"/>
        </w:rPr>
      </w:pPr>
      <w:r>
        <w:rPr>
          <w:rFonts w:hint="eastAsia" w:ascii="宋体" w:hAnsi="宋体" w:cs="宋体"/>
          <w:sz w:val="24"/>
        </w:rPr>
        <w:t>1.不同供应商的投标文件由同一单位或者个人编制；</w:t>
      </w:r>
    </w:p>
    <w:p>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2.不同供应商委托同一单位或者个人办理投标事宜；</w:t>
      </w:r>
    </w:p>
    <w:p>
      <w:pPr>
        <w:pStyle w:val="2"/>
        <w:spacing w:line="360" w:lineRule="auto"/>
        <w:ind w:firstLine="480" w:firstLineChars="200"/>
        <w:rPr>
          <w:rFonts w:ascii="宋体" w:hAnsi="宋体" w:cs="宋体"/>
          <w:sz w:val="24"/>
        </w:rPr>
      </w:pPr>
      <w:r>
        <w:rPr>
          <w:rFonts w:hint="eastAsia" w:ascii="宋体" w:hAnsi="宋体" w:cs="宋体"/>
          <w:sz w:val="24"/>
        </w:rPr>
        <w:t>3.不同供应商的投标文件载明的项目管理成员或者联系人员为同一人；</w:t>
      </w:r>
    </w:p>
    <w:p>
      <w:pPr>
        <w:spacing w:line="360" w:lineRule="auto"/>
        <w:ind w:firstLine="480" w:firstLineChars="200"/>
        <w:rPr>
          <w:rFonts w:ascii="宋体" w:hAnsi="宋体" w:cs="宋体"/>
          <w:sz w:val="24"/>
        </w:rPr>
      </w:pPr>
      <w:r>
        <w:rPr>
          <w:rFonts w:hint="eastAsia" w:ascii="宋体" w:hAnsi="宋体" w:cs="宋体"/>
          <w:sz w:val="24"/>
        </w:rPr>
        <w:t>4.不同供应商的投标文件异常一致或者投标报价呈规律性差异；</w:t>
      </w:r>
    </w:p>
    <w:p>
      <w:pPr>
        <w:pStyle w:val="2"/>
        <w:spacing w:line="360" w:lineRule="auto"/>
        <w:ind w:firstLine="480" w:firstLineChars="200"/>
        <w:rPr>
          <w:rFonts w:ascii="宋体" w:hAnsi="宋体" w:cs="宋体"/>
          <w:sz w:val="24"/>
        </w:rPr>
      </w:pPr>
      <w:r>
        <w:rPr>
          <w:rFonts w:hint="eastAsia" w:ascii="宋体" w:hAnsi="宋体" w:cs="宋体"/>
          <w:sz w:val="24"/>
        </w:rPr>
        <w:t>5.不同供应商的投标文件相互混装；</w:t>
      </w:r>
    </w:p>
    <w:p>
      <w:pPr>
        <w:spacing w:line="360" w:lineRule="auto"/>
        <w:ind w:firstLine="480" w:firstLineChars="200"/>
        <w:rPr>
          <w:rFonts w:ascii="宋体" w:hAnsi="宋体" w:cs="宋体"/>
          <w:sz w:val="24"/>
        </w:rPr>
      </w:pPr>
      <w:r>
        <w:rPr>
          <w:rFonts w:hint="eastAsia" w:ascii="宋体" w:hAnsi="宋体" w:cs="宋体"/>
          <w:sz w:val="24"/>
        </w:rPr>
        <w:t>6.不同供应商的投标保证金从同一单位或者个人的账户转出；</w:t>
      </w:r>
    </w:p>
    <w:p>
      <w:pPr>
        <w:spacing w:line="360" w:lineRule="auto"/>
        <w:ind w:firstLine="480" w:firstLineChars="200"/>
        <w:rPr>
          <w:rFonts w:ascii="宋体" w:hAnsi="宋体" w:cs="宋体"/>
          <w:sz w:val="24"/>
        </w:rPr>
      </w:pPr>
      <w:r>
        <w:rPr>
          <w:rFonts w:hint="eastAsia" w:ascii="宋体" w:hAnsi="宋体" w:cs="宋体"/>
          <w:sz w:val="24"/>
        </w:rPr>
        <w:t>7.不同供应商的董事、监事、高管、单位负责人为同一人或者存在控股、管理关系的不同单位参加同一采购项目；</w:t>
      </w:r>
    </w:p>
    <w:p>
      <w:pPr>
        <w:pStyle w:val="2"/>
        <w:spacing w:line="360" w:lineRule="auto"/>
        <w:ind w:firstLine="480" w:firstLineChars="200"/>
        <w:rPr>
          <w:rFonts w:ascii="宋体" w:hAnsi="宋体" w:cs="宋体"/>
          <w:sz w:val="24"/>
        </w:rPr>
      </w:pPr>
      <w:r>
        <w:rPr>
          <w:rFonts w:hint="eastAsia" w:ascii="宋体" w:hAnsi="宋体" w:cs="宋体"/>
          <w:sz w:val="24"/>
        </w:rPr>
        <w:t>8.供应商之间事先约定由某一特定供应商中标、成交；</w:t>
      </w:r>
    </w:p>
    <w:p>
      <w:pPr>
        <w:spacing w:line="360" w:lineRule="auto"/>
        <w:ind w:firstLine="480" w:firstLineChars="200"/>
        <w:rPr>
          <w:rFonts w:ascii="宋体" w:hAnsi="宋体" w:cs="宋体"/>
          <w:sz w:val="24"/>
        </w:rPr>
      </w:pPr>
      <w:r>
        <w:rPr>
          <w:rFonts w:hint="eastAsia" w:ascii="宋体" w:hAnsi="宋体" w:cs="宋体"/>
          <w:sz w:val="24"/>
        </w:rPr>
        <w:t>9.供应商之间商定部分供应商放弃参加采购活动或者放弃中标、成交；</w:t>
      </w:r>
    </w:p>
    <w:p>
      <w:pPr>
        <w:spacing w:line="360" w:lineRule="auto"/>
        <w:ind w:firstLine="480" w:firstLineChars="200"/>
        <w:rPr>
          <w:rFonts w:ascii="宋体" w:hAnsi="宋体" w:cs="宋体"/>
          <w:sz w:val="24"/>
        </w:rPr>
      </w:pPr>
      <w:r>
        <w:rPr>
          <w:rFonts w:hint="eastAsia" w:ascii="宋体" w:hAnsi="宋体" w:cs="宋体"/>
          <w:sz w:val="24"/>
        </w:rPr>
        <w:t>10.法律法规界定的其他围标串标行为。</w:t>
      </w:r>
    </w:p>
    <w:p>
      <w:pPr>
        <w:spacing w:line="360" w:lineRule="auto"/>
        <w:ind w:firstLine="480" w:firstLineChars="200"/>
        <w:rPr>
          <w:rFonts w:ascii="宋体" w:hAnsi="宋体" w:cs="宋体"/>
          <w:sz w:val="24"/>
        </w:rPr>
      </w:pPr>
      <w:r>
        <w:rPr>
          <w:rFonts w:hint="eastAsia" w:ascii="宋体" w:hAnsi="宋体" w:cs="宋体"/>
          <w:sz w:val="24"/>
        </w:rPr>
        <w:t>我公司承诺在本项目采购活动中，与采购人不存在关联关系，与其他投标单位不存在关联关系。如被查实在本项目采购活动中存在围标、串标的，本公司将承担法律责任，接受相应的法律法规处罚。</w:t>
      </w:r>
    </w:p>
    <w:p>
      <w:pPr>
        <w:pStyle w:val="2"/>
        <w:spacing w:line="360" w:lineRule="auto"/>
        <w:rPr>
          <w:rFonts w:ascii="宋体" w:hAnsi="宋体" w:cs="宋体"/>
          <w:sz w:val="24"/>
        </w:rPr>
      </w:pPr>
    </w:p>
    <w:p>
      <w:pPr>
        <w:pStyle w:val="2"/>
        <w:spacing w:line="360" w:lineRule="auto"/>
        <w:ind w:firstLine="480" w:firstLineChars="200"/>
        <w:rPr>
          <w:rFonts w:ascii="宋体" w:hAnsi="宋体" w:cs="宋体"/>
          <w:sz w:val="24"/>
        </w:rPr>
      </w:pPr>
      <w:r>
        <w:rPr>
          <w:rFonts w:hint="eastAsia" w:ascii="宋体" w:hAnsi="宋体" w:cs="宋体"/>
          <w:sz w:val="24"/>
        </w:rPr>
        <w:t>投标供应商法人代表或委托代理人（承诺人） ：</w:t>
      </w:r>
    </w:p>
    <w:p>
      <w:pPr>
        <w:pStyle w:val="2"/>
        <w:spacing w:line="360" w:lineRule="auto"/>
        <w:ind w:firstLine="480" w:firstLineChars="200"/>
        <w:rPr>
          <w:rFonts w:ascii="宋体" w:hAnsi="宋体" w:cs="宋体"/>
          <w:sz w:val="24"/>
        </w:rPr>
      </w:pPr>
      <w:r>
        <w:rPr>
          <w:rFonts w:hint="eastAsia" w:ascii="宋体" w:hAnsi="宋体" w:cs="宋体"/>
          <w:sz w:val="24"/>
        </w:rPr>
        <w:t xml:space="preserve">投标供应商：（公章）  </w:t>
      </w:r>
    </w:p>
    <w:p>
      <w:pPr>
        <w:pStyle w:val="2"/>
        <w:spacing w:line="360" w:lineRule="auto"/>
        <w:ind w:firstLine="480" w:firstLineChars="200"/>
        <w:rPr>
          <w:rFonts w:ascii="宋体" w:hAnsi="宋体" w:cs="宋体"/>
          <w:sz w:val="24"/>
        </w:rPr>
      </w:pPr>
      <w:r>
        <w:rPr>
          <w:rFonts w:hint="eastAsia" w:ascii="宋体" w:hAnsi="宋体" w:cs="宋体"/>
          <w:sz w:val="24"/>
        </w:rPr>
        <w:t>日期：   年    月    日</w:t>
      </w: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2-4</w:t>
      </w:r>
    </w:p>
    <w:p>
      <w:pPr>
        <w:pStyle w:val="10"/>
        <w:widowControl/>
        <w:spacing w:line="360" w:lineRule="auto"/>
        <w:rPr>
          <w:rFonts w:ascii="宋体" w:hAnsi="宋体" w:cs="宋体"/>
        </w:rPr>
      </w:pPr>
      <w:r>
        <w:rPr>
          <w:rFonts w:hint="eastAsia" w:ascii="宋体" w:hAnsi="宋体" w:cs="宋体"/>
          <w:b/>
        </w:rPr>
        <w:t>商务、技术、服务响应/偏离表 </w:t>
      </w:r>
    </w:p>
    <w:p>
      <w:pPr>
        <w:pStyle w:val="10"/>
        <w:widowControl/>
        <w:spacing w:after="120" w:afterAutospacing="0" w:line="360" w:lineRule="auto"/>
        <w:rPr>
          <w:rFonts w:ascii="宋体" w:hAnsi="宋体" w:cs="宋体"/>
          <w:b/>
          <w:u w:val="single"/>
        </w:rPr>
      </w:pPr>
      <w:r>
        <w:rPr>
          <w:rFonts w:hint="eastAsia" w:ascii="宋体" w:hAnsi="宋体" w:cs="宋体"/>
          <w:b/>
        </w:rPr>
        <w:t>供应商名称：</w:t>
      </w:r>
      <w:r>
        <w:rPr>
          <w:rFonts w:hint="eastAsia" w:ascii="宋体" w:hAnsi="宋体" w:cs="宋体"/>
          <w:b/>
          <w:u w:val="single"/>
        </w:rPr>
        <w:t>             </w:t>
      </w:r>
    </w:p>
    <w:p>
      <w:pPr>
        <w:pStyle w:val="10"/>
        <w:widowControl/>
        <w:spacing w:after="120" w:afterAutospacing="0" w:line="360" w:lineRule="auto"/>
        <w:rPr>
          <w:rFonts w:ascii="宋体" w:hAnsi="宋体" w:cs="宋体"/>
        </w:rPr>
      </w:pPr>
      <w:r>
        <w:rPr>
          <w:rFonts w:hint="eastAsia" w:ascii="宋体" w:hAnsi="宋体" w:cs="宋体"/>
          <w:b/>
        </w:rPr>
        <w:t>采购编号：</w:t>
      </w:r>
      <w:r>
        <w:rPr>
          <w:rFonts w:hint="eastAsia" w:ascii="宋体" w:hAnsi="宋体" w:cs="宋体"/>
          <w:b/>
          <w:u w:val="single"/>
        </w:rPr>
        <w:t>             </w:t>
      </w:r>
      <w:r>
        <w:rPr>
          <w:rFonts w:hint="eastAsia" w:ascii="宋体" w:hAnsi="宋体" w:cs="宋体"/>
          <w:b/>
        </w:rPr>
        <w:t> </w:t>
      </w:r>
    </w:p>
    <w:tbl>
      <w:tblPr>
        <w:tblStyle w:val="12"/>
        <w:tblW w:w="856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35"/>
        <w:gridCol w:w="1989"/>
        <w:gridCol w:w="1665"/>
        <w:gridCol w:w="2736"/>
        <w:gridCol w:w="14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645" w:hRule="atLeast"/>
        </w:trPr>
        <w:tc>
          <w:tcPr>
            <w:tcW w:w="7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10"/>
              <w:widowControl/>
              <w:spacing w:before="60" w:beforeAutospacing="0" w:after="60" w:afterAutospacing="0" w:line="360" w:lineRule="auto"/>
              <w:jc w:val="center"/>
              <w:rPr>
                <w:rFonts w:ascii="宋体" w:hAnsi="宋体" w:cs="宋体"/>
              </w:rPr>
            </w:pPr>
            <w:r>
              <w:rPr>
                <w:rFonts w:hint="eastAsia" w:ascii="宋体" w:hAnsi="宋体" w:cs="宋体"/>
              </w:rPr>
              <w:t>序号</w:t>
            </w:r>
          </w:p>
        </w:tc>
        <w:tc>
          <w:tcPr>
            <w:tcW w:w="198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10"/>
              <w:widowControl/>
              <w:spacing w:before="60" w:beforeAutospacing="0" w:after="60" w:afterAutospacing="0" w:line="360" w:lineRule="auto"/>
              <w:jc w:val="center"/>
              <w:rPr>
                <w:rFonts w:ascii="宋体" w:hAnsi="宋体" w:cs="宋体"/>
              </w:rPr>
            </w:pPr>
            <w:r>
              <w:rPr>
                <w:rFonts w:hint="eastAsia" w:ascii="宋体" w:hAnsi="宋体" w:cs="宋体"/>
              </w:rPr>
              <w:t>采购文件条目号</w:t>
            </w:r>
          </w:p>
        </w:tc>
        <w:tc>
          <w:tcPr>
            <w:tcW w:w="166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10"/>
              <w:widowControl/>
              <w:spacing w:before="60" w:beforeAutospacing="0" w:after="60" w:afterAutospacing="0" w:line="360" w:lineRule="auto"/>
              <w:jc w:val="center"/>
              <w:rPr>
                <w:rFonts w:ascii="宋体" w:hAnsi="宋体" w:cs="宋体"/>
              </w:rPr>
            </w:pPr>
            <w:r>
              <w:rPr>
                <w:rFonts w:hint="eastAsia" w:ascii="宋体" w:hAnsi="宋体" w:cs="宋体"/>
              </w:rPr>
              <w:t>采购文件要求</w:t>
            </w:r>
          </w:p>
        </w:tc>
        <w:tc>
          <w:tcPr>
            <w:tcW w:w="27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10"/>
              <w:widowControl/>
              <w:spacing w:before="60" w:beforeAutospacing="0" w:after="60" w:afterAutospacing="0" w:line="360" w:lineRule="auto"/>
              <w:jc w:val="center"/>
              <w:rPr>
                <w:rFonts w:ascii="宋体" w:hAnsi="宋体" w:cs="宋体"/>
              </w:rPr>
            </w:pPr>
            <w:r>
              <w:rPr>
                <w:rFonts w:hint="eastAsia" w:ascii="宋体" w:hAnsi="宋体" w:cs="宋体"/>
              </w:rPr>
              <w:t>采购响应文件响应说明</w:t>
            </w:r>
          </w:p>
        </w:tc>
        <w:tc>
          <w:tcPr>
            <w:tcW w:w="144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10"/>
              <w:widowControl/>
              <w:spacing w:before="60" w:beforeAutospacing="0" w:after="60" w:afterAutospacing="0" w:line="360" w:lineRule="auto"/>
              <w:jc w:val="center"/>
              <w:rPr>
                <w:rFonts w:ascii="宋体" w:hAnsi="宋体" w:cs="宋体"/>
              </w:rPr>
            </w:pPr>
            <w:r>
              <w:rPr>
                <w:rFonts w:hint="eastAsia" w:ascii="宋体" w:hAnsi="宋体" w:cs="宋体"/>
              </w:rPr>
              <w:t>响应/偏离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cantSplit/>
          <w:trHeight w:val="780" w:hRule="atLeast"/>
        </w:trPr>
        <w:tc>
          <w:tcPr>
            <w:tcW w:w="73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989"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665"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2736"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c>
          <w:tcPr>
            <w:tcW w:w="1440"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pPr>
              <w:pStyle w:val="10"/>
              <w:widowControl/>
              <w:spacing w:before="120" w:beforeAutospacing="0" w:after="120" w:afterAutospacing="0" w:line="360" w:lineRule="auto"/>
              <w:rPr>
                <w:rFonts w:ascii="宋体" w:hAnsi="宋体" w:cs="宋体"/>
              </w:rPr>
            </w:pPr>
            <w:r>
              <w:rPr>
                <w:rFonts w:hint="eastAsia" w:ascii="宋体" w:hAnsi="宋体" w:cs="宋体"/>
              </w:rPr>
              <w:t> </w:t>
            </w:r>
          </w:p>
        </w:tc>
      </w:tr>
    </w:tbl>
    <w:p>
      <w:pPr>
        <w:pStyle w:val="10"/>
        <w:widowControl/>
        <w:spacing w:line="360" w:lineRule="auto"/>
        <w:ind w:firstLine="420"/>
        <w:rPr>
          <w:rFonts w:ascii="宋体" w:hAnsi="宋体" w:cs="宋体"/>
        </w:rPr>
      </w:pPr>
      <w:r>
        <w:rPr>
          <w:rFonts w:hint="eastAsia" w:ascii="宋体" w:hAnsi="宋体" w:cs="宋体"/>
        </w:rPr>
        <w:t>供应商名称：         （盖章）</w:t>
      </w:r>
    </w:p>
    <w:p>
      <w:pPr>
        <w:pStyle w:val="10"/>
        <w:widowControl/>
        <w:spacing w:line="360" w:lineRule="auto"/>
        <w:ind w:firstLine="420"/>
        <w:rPr>
          <w:rFonts w:ascii="宋体" w:hAnsi="宋体" w:cs="宋体"/>
        </w:rPr>
      </w:pPr>
      <w:r>
        <w:rPr>
          <w:rFonts w:hint="eastAsia" w:ascii="宋体" w:hAnsi="宋体" w:cs="宋体"/>
        </w:rPr>
        <w:t>法定代表人/单位负责人或授权代表（签字或加盖个人名章）：</w:t>
      </w:r>
    </w:p>
    <w:p>
      <w:pPr>
        <w:pStyle w:val="10"/>
        <w:widowControl/>
        <w:spacing w:line="360" w:lineRule="auto"/>
        <w:ind w:firstLine="420"/>
        <w:rPr>
          <w:rFonts w:ascii="宋体" w:hAnsi="宋体" w:cs="宋体"/>
        </w:rPr>
      </w:pPr>
      <w:r>
        <w:rPr>
          <w:rFonts w:hint="eastAsia" w:ascii="宋体" w:hAnsi="宋体" w:cs="宋体"/>
        </w:rPr>
        <w:t>日期:</w:t>
      </w:r>
    </w:p>
    <w:p>
      <w:pPr>
        <w:pStyle w:val="10"/>
        <w:widowControl/>
        <w:spacing w:line="360" w:lineRule="auto"/>
        <w:ind w:firstLine="420"/>
        <w:rPr>
          <w:rFonts w:ascii="宋体" w:hAnsi="宋体" w:cs="宋体"/>
        </w:rPr>
      </w:pPr>
      <w:r>
        <w:rPr>
          <w:rFonts w:hint="eastAsia" w:ascii="宋体" w:hAnsi="宋体" w:cs="宋体"/>
        </w:rPr>
        <w:t>注：</w:t>
      </w:r>
    </w:p>
    <w:p>
      <w:pPr>
        <w:pStyle w:val="10"/>
        <w:widowControl/>
        <w:spacing w:line="360" w:lineRule="auto"/>
        <w:ind w:firstLine="480"/>
        <w:rPr>
          <w:rFonts w:ascii="宋体" w:hAnsi="宋体" w:cs="宋体"/>
        </w:rPr>
      </w:pPr>
      <w:r>
        <w:rPr>
          <w:rFonts w:hint="eastAsia" w:ascii="宋体" w:hAnsi="宋体" w:cs="宋体"/>
        </w:rPr>
        <w:t>供应商必须据实填写，不得虚假应答，否则将取消其报价或成交资格。如与磋商文件所列★技术相关条款如有偏离条款，请将偏离条款逐条应答。未明确偏离的条款，视为默认接受，供应商不得籍未作应答而拒不接受。如无偏离，请填写无偏离或正偏离。</w:t>
      </w:r>
    </w:p>
    <w:p>
      <w:pPr>
        <w:pStyle w:val="10"/>
        <w:widowControl/>
        <w:spacing w:line="360" w:lineRule="auto"/>
        <w:ind w:firstLine="480"/>
        <w:rPr>
          <w:rFonts w:ascii="宋体" w:hAnsi="宋体" w:cs="宋体"/>
        </w:rPr>
      </w:pPr>
      <w:r>
        <w:rPr>
          <w:rFonts w:hint="eastAsia" w:ascii="宋体" w:hAnsi="宋体" w:cs="宋体"/>
        </w:rPr>
        <w:t>若磋商文件中有要求提供证明材料的技术条款应当在此表中列出并应答。</w:t>
      </w: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2-5</w:t>
      </w:r>
    </w:p>
    <w:p>
      <w:pPr>
        <w:pStyle w:val="5"/>
        <w:spacing w:line="360" w:lineRule="auto"/>
        <w:ind w:firstLine="0"/>
        <w:rPr>
          <w:rFonts w:hAnsi="宋体" w:eastAsia="宋体" w:cs="宋体"/>
          <w:b/>
          <w:bCs/>
          <w:sz w:val="24"/>
          <w:szCs w:val="24"/>
        </w:rPr>
      </w:pPr>
    </w:p>
    <w:p>
      <w:pPr>
        <w:pStyle w:val="17"/>
        <w:snapToGrid w:val="0"/>
        <w:spacing w:before="312" w:beforeLines="100" w:after="312" w:afterLines="100"/>
        <w:ind w:firstLine="0" w:firstLineChars="0"/>
        <w:jc w:val="center"/>
        <w:rPr>
          <w:rFonts w:ascii="宋体" w:hAnsi="宋体" w:eastAsia="宋体" w:cs="宋体"/>
        </w:rPr>
      </w:pPr>
      <w:r>
        <w:rPr>
          <w:rFonts w:hint="eastAsia" w:ascii="宋体" w:hAnsi="宋体" w:eastAsia="宋体" w:cs="宋体"/>
          <w:shd w:val="clear" w:color="auto" w:fill="FFFFFF"/>
        </w:rPr>
        <w:t>良好的商业信誉和健全的财务会计制度的承诺函</w:t>
      </w:r>
    </w:p>
    <w:p>
      <w:pPr>
        <w:snapToGrid w:val="0"/>
        <w:spacing w:line="360" w:lineRule="auto"/>
        <w:rPr>
          <w:rFonts w:ascii="宋体" w:hAnsi="宋体" w:cs="宋体"/>
          <w:sz w:val="24"/>
        </w:rPr>
      </w:pPr>
      <w:r>
        <w:rPr>
          <w:rFonts w:hint="eastAsia" w:ascii="宋体" w:hAnsi="宋体" w:cs="宋体"/>
          <w:sz w:val="24"/>
        </w:rPr>
        <w:t>四川省妇幼保健院：</w:t>
      </w:r>
    </w:p>
    <w:p>
      <w:pPr>
        <w:snapToGrid w:val="0"/>
        <w:spacing w:after="156" w:afterLines="50" w:line="360" w:lineRule="auto"/>
        <w:ind w:firstLine="480" w:firstLineChars="200"/>
        <w:rPr>
          <w:rFonts w:ascii="宋体" w:hAnsi="宋体" w:cs="宋体"/>
          <w:sz w:val="24"/>
        </w:rPr>
      </w:pPr>
      <w:r>
        <w:rPr>
          <w:rFonts w:hint="eastAsia" w:ascii="宋体" w:hAnsi="宋体" w:cs="宋体"/>
          <w:sz w:val="24"/>
        </w:rPr>
        <w:t>本投标人</w:t>
      </w:r>
      <w:r>
        <w:rPr>
          <w:rFonts w:hint="eastAsia" w:ascii="宋体" w:hAnsi="宋体" w:cs="宋体"/>
          <w:sz w:val="24"/>
          <w:u w:val="single"/>
        </w:rPr>
        <w:t xml:space="preserve">      （投标人全称）        </w:t>
      </w:r>
      <w:r>
        <w:rPr>
          <w:rFonts w:hint="eastAsia" w:ascii="宋体" w:hAnsi="宋体" w:cs="宋体"/>
          <w:sz w:val="24"/>
        </w:rPr>
        <w:t>参加</w:t>
      </w:r>
      <w:r>
        <w:rPr>
          <w:rFonts w:hint="eastAsia" w:ascii="宋体" w:hAnsi="宋体" w:cs="宋体"/>
          <w:sz w:val="24"/>
          <w:u w:val="single"/>
        </w:rPr>
        <w:t xml:space="preserve">   （项目名称）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）的磋商活动，现郑重承诺：</w:t>
      </w:r>
    </w:p>
    <w:p>
      <w:pPr>
        <w:snapToGrid w:val="0"/>
        <w:spacing w:line="360" w:lineRule="auto"/>
        <w:ind w:firstLine="480" w:firstLineChars="200"/>
        <w:rPr>
          <w:rFonts w:ascii="宋体" w:hAnsi="宋体" w:cs="宋体"/>
          <w:sz w:val="24"/>
        </w:rPr>
      </w:pPr>
      <w:r>
        <w:rPr>
          <w:rFonts w:hint="eastAsia" w:ascii="宋体" w:hAnsi="宋体" w:cs="宋体"/>
          <w:sz w:val="24"/>
        </w:rPr>
        <w:t>本投标人</w:t>
      </w:r>
      <w:r>
        <w:rPr>
          <w:rFonts w:hint="eastAsia" w:ascii="宋体" w:hAnsi="宋体" w:cs="宋体"/>
          <w:sz w:val="24"/>
          <w:shd w:val="clear" w:color="auto" w:fill="FFFFFF"/>
        </w:rPr>
        <w:t>具有良好的商业信誉和健全的财务会计制度</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本投标人对上述承诺的内容事项真实性负责，如经查实上述承诺的内容事项存在虚假，本投标人愿意接受以提供虚假材料谋取中标追究法律责任。</w:t>
      </w:r>
    </w:p>
    <w:p>
      <w:pPr>
        <w:snapToGrid w:val="0"/>
        <w:spacing w:line="360" w:lineRule="auto"/>
        <w:ind w:firstLine="480" w:firstLineChars="200"/>
        <w:rPr>
          <w:rFonts w:ascii="宋体" w:hAnsi="宋体" w:cs="宋体"/>
          <w:sz w:val="24"/>
        </w:rPr>
      </w:pPr>
      <w:r>
        <w:rPr>
          <w:rFonts w:hint="eastAsia" w:ascii="宋体" w:hAnsi="宋体" w:cs="宋体"/>
          <w:sz w:val="24"/>
        </w:rPr>
        <w:t>特此承诺。</w:t>
      </w:r>
    </w:p>
    <w:p>
      <w:pPr>
        <w:snapToGrid w:val="0"/>
        <w:spacing w:line="360" w:lineRule="auto"/>
        <w:ind w:firstLine="480" w:firstLineChars="200"/>
        <w:rPr>
          <w:rFonts w:ascii="宋体" w:hAnsi="宋体" w:cs="宋体"/>
          <w:sz w:val="24"/>
        </w:rPr>
      </w:pPr>
    </w:p>
    <w:p>
      <w:pPr>
        <w:widowControl/>
        <w:snapToGrid w:val="0"/>
        <w:spacing w:line="360" w:lineRule="auto"/>
        <w:ind w:firstLine="480" w:firstLineChars="200"/>
        <w:jc w:val="left"/>
        <w:outlineLvl w:val="1"/>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（投标人全称）  </w:t>
      </w:r>
      <w:r>
        <w:rPr>
          <w:rFonts w:hint="eastAsia" w:ascii="宋体" w:hAnsi="宋体" w:cs="宋体"/>
          <w:sz w:val="24"/>
        </w:rPr>
        <w:t>（加盖公章）</w:t>
      </w:r>
    </w:p>
    <w:p>
      <w:pPr>
        <w:widowControl/>
        <w:snapToGrid w:val="0"/>
        <w:spacing w:line="360" w:lineRule="auto"/>
        <w:ind w:firstLine="480" w:firstLineChars="200"/>
        <w:jc w:val="left"/>
        <w:outlineLvl w:val="1"/>
        <w:rPr>
          <w:rFonts w:ascii="宋体" w:hAnsi="宋体" w:cs="宋体"/>
          <w:sz w:val="24"/>
        </w:rPr>
      </w:pPr>
      <w:r>
        <w:rPr>
          <w:rFonts w:hint="eastAsia" w:ascii="宋体" w:hAnsi="宋体" w:cs="宋体"/>
          <w:sz w:val="24"/>
        </w:rPr>
        <w:t>法定代表人或授权代表：</w:t>
      </w:r>
      <w:r>
        <w:rPr>
          <w:rFonts w:hint="eastAsia" w:ascii="宋体" w:hAnsi="宋体" w:cs="宋体"/>
          <w:sz w:val="24"/>
          <w:u w:val="single"/>
        </w:rPr>
        <w:t xml:space="preserve">    （签字或盖章）   </w:t>
      </w:r>
    </w:p>
    <w:p>
      <w:pPr>
        <w:widowControl/>
        <w:snapToGrid w:val="0"/>
        <w:spacing w:line="360" w:lineRule="auto"/>
        <w:ind w:firstLine="480" w:firstLineChars="200"/>
        <w:jc w:val="left"/>
        <w:outlineLvl w:val="1"/>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widowControl/>
        <w:snapToGrid w:val="0"/>
        <w:spacing w:line="360" w:lineRule="auto"/>
        <w:ind w:firstLine="480" w:firstLineChars="200"/>
        <w:jc w:val="left"/>
        <w:outlineLvl w:val="1"/>
        <w:rPr>
          <w:rFonts w:ascii="宋体" w:hAnsi="宋体" w:cs="宋体"/>
          <w:sz w:val="24"/>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rPr>
          <w:rFonts w:ascii="宋体" w:hAnsi="宋体" w:eastAsia="宋体" w:cs="宋体"/>
          <w:b/>
          <w:bCs/>
        </w:rPr>
      </w:pPr>
      <w:r>
        <w:rPr>
          <w:rFonts w:hint="eastAsia" w:ascii="宋体" w:hAnsi="宋体" w:eastAsia="宋体" w:cs="宋体"/>
          <w:b/>
          <w:bCs/>
        </w:rPr>
        <w:t>2-6</w:t>
      </w: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p>
    <w:p>
      <w:pPr>
        <w:pStyle w:val="17"/>
        <w:snapToGrid w:val="0"/>
        <w:ind w:firstLine="0" w:firstLineChars="0"/>
        <w:jc w:val="center"/>
        <w:rPr>
          <w:rFonts w:ascii="宋体" w:hAnsi="宋体" w:eastAsia="宋体" w:cs="宋体"/>
        </w:rPr>
      </w:pPr>
      <w:r>
        <w:rPr>
          <w:rFonts w:hint="eastAsia" w:ascii="宋体" w:hAnsi="宋体" w:eastAsia="宋体" w:cs="宋体"/>
        </w:rPr>
        <w:t>履行合同所必需的设备和专业技术能力的承诺函</w:t>
      </w:r>
    </w:p>
    <w:p>
      <w:pPr>
        <w:snapToGrid w:val="0"/>
        <w:spacing w:before="468" w:beforeLines="150" w:after="156" w:afterLines="50" w:line="360" w:lineRule="auto"/>
        <w:rPr>
          <w:rFonts w:ascii="宋体" w:hAnsi="宋体" w:cs="宋体"/>
          <w:sz w:val="24"/>
        </w:rPr>
      </w:pPr>
      <w:r>
        <w:rPr>
          <w:rFonts w:hint="eastAsia" w:ascii="宋体" w:hAnsi="宋体" w:cs="宋体"/>
          <w:sz w:val="24"/>
        </w:rPr>
        <w:t>四川省妇幼保健院：</w:t>
      </w:r>
    </w:p>
    <w:p>
      <w:pPr>
        <w:snapToGrid w:val="0"/>
        <w:spacing w:after="156" w:afterLines="50" w:line="360" w:lineRule="auto"/>
        <w:ind w:firstLine="480" w:firstLineChars="200"/>
        <w:rPr>
          <w:rFonts w:ascii="宋体" w:hAnsi="宋体" w:cs="宋体"/>
          <w:sz w:val="24"/>
        </w:rPr>
      </w:pPr>
      <w:r>
        <w:rPr>
          <w:rFonts w:hint="eastAsia" w:ascii="宋体" w:hAnsi="宋体" w:cs="宋体"/>
          <w:sz w:val="24"/>
        </w:rPr>
        <w:t>本投标人</w:t>
      </w:r>
      <w:r>
        <w:rPr>
          <w:rFonts w:hint="eastAsia" w:ascii="宋体" w:hAnsi="宋体" w:cs="宋体"/>
          <w:sz w:val="24"/>
          <w:u w:val="single"/>
        </w:rPr>
        <w:t xml:space="preserve">     （投标人全称）     </w:t>
      </w:r>
      <w:r>
        <w:rPr>
          <w:rFonts w:hint="eastAsia" w:ascii="宋体" w:hAnsi="宋体" w:cs="宋体"/>
          <w:sz w:val="24"/>
        </w:rPr>
        <w:t>参加</w:t>
      </w:r>
      <w:r>
        <w:rPr>
          <w:rFonts w:hint="eastAsia" w:ascii="宋体" w:hAnsi="宋体" w:cs="宋体"/>
          <w:sz w:val="24"/>
          <w:u w:val="single"/>
        </w:rPr>
        <w:t xml:space="preserve">   （项目名称）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）的磋商活动，现郑重承诺：</w:t>
      </w:r>
    </w:p>
    <w:p>
      <w:pPr>
        <w:snapToGrid w:val="0"/>
        <w:spacing w:line="360" w:lineRule="auto"/>
        <w:ind w:firstLine="480" w:firstLineChars="200"/>
        <w:rPr>
          <w:rFonts w:ascii="宋体" w:hAnsi="宋体" w:cs="宋体"/>
          <w:sz w:val="24"/>
        </w:rPr>
      </w:pPr>
      <w:r>
        <w:rPr>
          <w:rFonts w:hint="eastAsia" w:ascii="宋体" w:hAnsi="宋体" w:cs="宋体"/>
          <w:sz w:val="24"/>
        </w:rPr>
        <w:t>本投标人</w:t>
      </w:r>
      <w:r>
        <w:rPr>
          <w:rFonts w:hint="eastAsia" w:ascii="宋体" w:hAnsi="宋体" w:cs="宋体"/>
          <w:sz w:val="24"/>
          <w:shd w:val="clear" w:color="auto" w:fill="FFFFFF"/>
        </w:rPr>
        <w:t>具有履行合同所必须的设备和专业技术能力</w:t>
      </w:r>
      <w:r>
        <w:rPr>
          <w:rFonts w:hint="eastAsia" w:ascii="宋体" w:hAnsi="宋体" w:cs="宋体"/>
          <w:sz w:val="24"/>
        </w:rPr>
        <w:t>。</w:t>
      </w:r>
    </w:p>
    <w:p>
      <w:pPr>
        <w:snapToGrid w:val="0"/>
        <w:spacing w:line="360" w:lineRule="auto"/>
        <w:ind w:firstLine="480" w:firstLineChars="200"/>
        <w:rPr>
          <w:rFonts w:ascii="宋体" w:hAnsi="宋体" w:cs="宋体"/>
          <w:sz w:val="24"/>
        </w:rPr>
      </w:pPr>
      <w:r>
        <w:rPr>
          <w:rFonts w:hint="eastAsia" w:ascii="宋体" w:hAnsi="宋体" w:cs="宋体"/>
          <w:sz w:val="24"/>
        </w:rPr>
        <w:t>本投标人对上述承诺的内容事项真实性负责，如经查实上述承诺的内容事项存在虚假，本投标人愿意接受以提供虚假材料谋取中标追究法律责任。</w:t>
      </w:r>
    </w:p>
    <w:p>
      <w:pPr>
        <w:snapToGrid w:val="0"/>
        <w:spacing w:line="360" w:lineRule="auto"/>
        <w:ind w:firstLine="480" w:firstLineChars="200"/>
        <w:rPr>
          <w:rFonts w:ascii="宋体" w:hAnsi="宋体" w:cs="宋体"/>
          <w:sz w:val="24"/>
        </w:rPr>
      </w:pPr>
      <w:r>
        <w:rPr>
          <w:rFonts w:hint="eastAsia" w:ascii="宋体" w:hAnsi="宋体" w:cs="宋体"/>
          <w:sz w:val="24"/>
        </w:rPr>
        <w:t>特此承诺。</w:t>
      </w:r>
    </w:p>
    <w:p>
      <w:pPr>
        <w:snapToGrid w:val="0"/>
        <w:spacing w:line="360" w:lineRule="auto"/>
        <w:ind w:firstLine="480" w:firstLineChars="200"/>
        <w:rPr>
          <w:rFonts w:ascii="宋体" w:hAnsi="宋体" w:cs="宋体"/>
          <w:sz w:val="24"/>
        </w:rPr>
      </w:pPr>
    </w:p>
    <w:p>
      <w:pPr>
        <w:widowControl/>
        <w:snapToGrid w:val="0"/>
        <w:spacing w:line="360" w:lineRule="auto"/>
        <w:ind w:firstLine="480" w:firstLineChars="200"/>
        <w:jc w:val="left"/>
        <w:outlineLvl w:val="1"/>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（投标人全称）  </w:t>
      </w:r>
      <w:r>
        <w:rPr>
          <w:rFonts w:hint="eastAsia" w:ascii="宋体" w:hAnsi="宋体" w:cs="宋体"/>
          <w:sz w:val="24"/>
        </w:rPr>
        <w:t>（加盖公章）</w:t>
      </w:r>
    </w:p>
    <w:p>
      <w:pPr>
        <w:widowControl/>
        <w:snapToGrid w:val="0"/>
        <w:spacing w:line="360" w:lineRule="auto"/>
        <w:ind w:firstLine="480" w:firstLineChars="200"/>
        <w:jc w:val="left"/>
        <w:outlineLvl w:val="1"/>
        <w:rPr>
          <w:rFonts w:ascii="宋体" w:hAnsi="宋体" w:cs="宋体"/>
          <w:sz w:val="24"/>
        </w:rPr>
      </w:pPr>
      <w:r>
        <w:rPr>
          <w:rFonts w:hint="eastAsia" w:ascii="宋体" w:hAnsi="宋体" w:cs="宋体"/>
          <w:sz w:val="24"/>
        </w:rPr>
        <w:t>法定代表人或授权代表：</w:t>
      </w:r>
      <w:r>
        <w:rPr>
          <w:rFonts w:hint="eastAsia" w:ascii="宋体" w:hAnsi="宋体" w:cs="宋体"/>
          <w:sz w:val="24"/>
          <w:u w:val="single"/>
        </w:rPr>
        <w:t xml:space="preserve">    （签字或盖章）   </w:t>
      </w:r>
    </w:p>
    <w:p>
      <w:pPr>
        <w:widowControl/>
        <w:snapToGrid w:val="0"/>
        <w:spacing w:line="360" w:lineRule="auto"/>
        <w:ind w:firstLine="480" w:firstLineChars="200"/>
        <w:jc w:val="left"/>
        <w:outlineLvl w:val="1"/>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pStyle w:val="17"/>
        <w:snapToGrid w:val="0"/>
        <w:ind w:firstLine="480"/>
        <w:jc w:val="center"/>
        <w:rPr>
          <w:rFonts w:ascii="宋体" w:hAnsi="宋体" w:eastAsia="宋体" w:cs="宋体"/>
        </w:rPr>
      </w:pPr>
    </w:p>
    <w:p>
      <w:pPr>
        <w:spacing w:line="360" w:lineRule="auto"/>
        <w:rPr>
          <w:rFonts w:ascii="宋体" w:hAnsi="宋体" w:cs="宋体"/>
          <w:sz w:val="24"/>
        </w:rPr>
      </w:pPr>
      <w:r>
        <w:rPr>
          <w:rFonts w:hint="eastAsia" w:ascii="宋体" w:hAnsi="宋体" w:cs="宋体"/>
          <w:b/>
          <w:bCs/>
          <w:sz w:val="24"/>
        </w:rPr>
        <w:t>附件3 采购投标文件装订顺序</w:t>
      </w:r>
    </w:p>
    <w:p>
      <w:pPr>
        <w:pStyle w:val="2"/>
        <w:spacing w:line="360" w:lineRule="auto"/>
        <w:rPr>
          <w:rFonts w:ascii="宋体" w:hAnsi="宋体" w:cs="宋体"/>
          <w:sz w:val="24"/>
        </w:rPr>
      </w:pPr>
    </w:p>
    <w:p>
      <w:pPr>
        <w:numPr>
          <w:ilvl w:val="0"/>
          <w:numId w:val="5"/>
        </w:numPr>
        <w:spacing w:line="360" w:lineRule="auto"/>
        <w:rPr>
          <w:rFonts w:ascii="宋体" w:hAnsi="宋体" w:cs="宋体"/>
          <w:bCs/>
          <w:spacing w:val="8"/>
          <w:sz w:val="24"/>
        </w:rPr>
      </w:pPr>
      <w:r>
        <w:rPr>
          <w:rFonts w:hint="eastAsia" w:ascii="宋体" w:hAnsi="宋体" w:cs="宋体"/>
          <w:bCs/>
          <w:spacing w:val="8"/>
          <w:sz w:val="24"/>
        </w:rPr>
        <w:t>1.封面（公司、项目、联系人、联系方式）</w:t>
      </w:r>
    </w:p>
    <w:p>
      <w:pPr>
        <w:numPr>
          <w:ilvl w:val="0"/>
          <w:numId w:val="5"/>
        </w:numPr>
        <w:spacing w:line="360" w:lineRule="auto"/>
        <w:rPr>
          <w:rFonts w:ascii="宋体" w:hAnsi="宋体" w:cs="宋体"/>
          <w:bCs/>
          <w:spacing w:val="8"/>
          <w:sz w:val="24"/>
        </w:rPr>
      </w:pPr>
      <w:r>
        <w:rPr>
          <w:rFonts w:hint="eastAsia" w:ascii="宋体" w:hAnsi="宋体" w:cs="宋体"/>
          <w:bCs/>
          <w:spacing w:val="8"/>
          <w:sz w:val="24"/>
        </w:rPr>
        <w:t>2.目录</w:t>
      </w:r>
    </w:p>
    <w:p>
      <w:pPr>
        <w:numPr>
          <w:ilvl w:val="0"/>
          <w:numId w:val="5"/>
        </w:numPr>
        <w:adjustRightInd w:val="0"/>
        <w:spacing w:line="360" w:lineRule="auto"/>
        <w:rPr>
          <w:rFonts w:ascii="宋体" w:hAnsi="宋体" w:cs="宋体"/>
          <w:b/>
          <w:sz w:val="24"/>
        </w:rPr>
      </w:pPr>
      <w:r>
        <w:rPr>
          <w:rFonts w:hint="eastAsia" w:ascii="宋体" w:hAnsi="宋体" w:cs="宋体"/>
          <w:bCs/>
          <w:spacing w:val="8"/>
          <w:sz w:val="24"/>
        </w:rPr>
        <w:t>3.</w:t>
      </w:r>
      <w:r>
        <w:rPr>
          <w:rFonts w:hint="eastAsia" w:ascii="宋体" w:hAnsi="宋体" w:cs="宋体"/>
          <w:sz w:val="24"/>
        </w:rPr>
        <w:t>报价一览表</w:t>
      </w:r>
    </w:p>
    <w:p>
      <w:pPr>
        <w:numPr>
          <w:ilvl w:val="0"/>
          <w:numId w:val="5"/>
        </w:numPr>
        <w:adjustRightInd w:val="0"/>
        <w:spacing w:line="360" w:lineRule="auto"/>
        <w:rPr>
          <w:rFonts w:ascii="宋体" w:hAnsi="宋体" w:cs="宋体"/>
          <w:sz w:val="24"/>
        </w:rPr>
      </w:pPr>
      <w:r>
        <w:rPr>
          <w:rFonts w:hint="eastAsia" w:ascii="宋体" w:hAnsi="宋体" w:cs="宋体"/>
          <w:sz w:val="24"/>
        </w:rPr>
        <w:t>4.企业营业执照（复印件）</w:t>
      </w:r>
    </w:p>
    <w:p>
      <w:pPr>
        <w:numPr>
          <w:ilvl w:val="0"/>
          <w:numId w:val="5"/>
        </w:numPr>
        <w:spacing w:line="360" w:lineRule="auto"/>
        <w:rPr>
          <w:rFonts w:ascii="宋体" w:hAnsi="宋体" w:cs="宋体"/>
          <w:sz w:val="24"/>
        </w:rPr>
      </w:pPr>
      <w:r>
        <w:rPr>
          <w:rFonts w:hint="eastAsia" w:ascii="宋体" w:hAnsi="宋体" w:cs="宋体"/>
          <w:sz w:val="24"/>
        </w:rPr>
        <w:t>5.供应商资质</w:t>
      </w:r>
    </w:p>
    <w:p>
      <w:pPr>
        <w:numPr>
          <w:ilvl w:val="0"/>
          <w:numId w:val="5"/>
        </w:numPr>
        <w:spacing w:line="360" w:lineRule="auto"/>
        <w:rPr>
          <w:rFonts w:ascii="宋体" w:hAnsi="宋体" w:cs="宋体"/>
          <w:sz w:val="24"/>
        </w:rPr>
      </w:pPr>
      <w:r>
        <w:rPr>
          <w:rFonts w:hint="eastAsia" w:ascii="宋体" w:hAnsi="宋体" w:cs="宋体"/>
          <w:sz w:val="24"/>
        </w:rPr>
        <w:t>6.禁止围标、串标情况承诺函</w:t>
      </w:r>
    </w:p>
    <w:p>
      <w:pPr>
        <w:numPr>
          <w:ilvl w:val="0"/>
          <w:numId w:val="5"/>
        </w:numPr>
        <w:spacing w:line="360" w:lineRule="auto"/>
        <w:rPr>
          <w:rFonts w:ascii="宋体" w:hAnsi="宋体" w:cs="宋体"/>
          <w:sz w:val="24"/>
        </w:rPr>
      </w:pPr>
      <w:r>
        <w:rPr>
          <w:rFonts w:hint="eastAsia" w:ascii="宋体" w:hAnsi="宋体" w:cs="宋体"/>
          <w:sz w:val="24"/>
        </w:rPr>
        <w:t>7.</w:t>
      </w:r>
      <w:r>
        <w:rPr>
          <w:rFonts w:hint="eastAsia" w:ascii="宋体" w:hAnsi="宋体" w:cs="宋体"/>
          <w:bCs/>
          <w:sz w:val="24"/>
        </w:rPr>
        <w:t>如有</w:t>
      </w:r>
      <w:r>
        <w:rPr>
          <w:rFonts w:hint="eastAsia" w:ascii="宋体" w:hAnsi="宋体" w:cs="宋体"/>
          <w:sz w:val="24"/>
        </w:rPr>
        <w:t>企业管理体系认证（考核），请提供的有效证明文件的复印或扫描件，质量管理体系认证包括FDA、CE、ISO等认证（提供中文翻译复印件）</w:t>
      </w:r>
    </w:p>
    <w:p>
      <w:pPr>
        <w:numPr>
          <w:ilvl w:val="0"/>
          <w:numId w:val="5"/>
        </w:numPr>
        <w:spacing w:line="360" w:lineRule="auto"/>
        <w:rPr>
          <w:rFonts w:ascii="宋体" w:hAnsi="宋体" w:cs="宋体"/>
          <w:sz w:val="24"/>
        </w:rPr>
      </w:pPr>
      <w:r>
        <w:rPr>
          <w:rFonts w:hint="eastAsia" w:ascii="宋体" w:hAnsi="宋体" w:cs="宋体"/>
          <w:bCs/>
          <w:sz w:val="24"/>
        </w:rPr>
        <w:t>8.行业相关</w:t>
      </w:r>
      <w:r>
        <w:rPr>
          <w:rFonts w:hint="eastAsia" w:ascii="宋体" w:hAnsi="宋体" w:cs="宋体"/>
          <w:sz w:val="24"/>
        </w:rPr>
        <w:t>规范或标准（如有）</w:t>
      </w:r>
    </w:p>
    <w:p>
      <w:pPr>
        <w:numPr>
          <w:ilvl w:val="0"/>
          <w:numId w:val="5"/>
        </w:numPr>
        <w:spacing w:line="360" w:lineRule="auto"/>
        <w:rPr>
          <w:rFonts w:ascii="宋体" w:hAnsi="宋体" w:cs="宋体"/>
          <w:sz w:val="24"/>
        </w:rPr>
      </w:pPr>
      <w:r>
        <w:rPr>
          <w:rFonts w:hint="eastAsia" w:ascii="宋体" w:hAnsi="宋体" w:cs="宋体"/>
          <w:sz w:val="24"/>
        </w:rPr>
        <w:t>9.</w:t>
      </w:r>
      <w:r>
        <w:rPr>
          <w:rFonts w:hint="eastAsia" w:ascii="宋体" w:hAnsi="宋体" w:cs="宋体"/>
          <w:bCs/>
          <w:spacing w:val="8"/>
          <w:sz w:val="24"/>
        </w:rPr>
        <w:t>售后</w:t>
      </w:r>
      <w:r>
        <w:rPr>
          <w:rFonts w:hint="eastAsia" w:ascii="宋体" w:hAnsi="宋体" w:cs="宋体"/>
          <w:bCs/>
          <w:sz w:val="24"/>
        </w:rPr>
        <w:t>服务承诺</w:t>
      </w:r>
    </w:p>
    <w:p>
      <w:pPr>
        <w:numPr>
          <w:ilvl w:val="0"/>
          <w:numId w:val="5"/>
        </w:numPr>
        <w:spacing w:line="360" w:lineRule="auto"/>
        <w:rPr>
          <w:rFonts w:ascii="宋体" w:hAnsi="宋体" w:cs="宋体"/>
          <w:sz w:val="24"/>
        </w:rPr>
      </w:pPr>
      <w:r>
        <w:rPr>
          <w:rFonts w:hint="eastAsia" w:ascii="宋体" w:hAnsi="宋体" w:cs="宋体"/>
          <w:bCs/>
          <w:sz w:val="24"/>
        </w:rPr>
        <w:t>10.投标人认为需要提供的其它文件</w:t>
      </w:r>
    </w:p>
    <w:p>
      <w:pPr>
        <w:numPr>
          <w:ilvl w:val="0"/>
          <w:numId w:val="5"/>
        </w:numPr>
        <w:tabs>
          <w:tab w:val="left" w:pos="0"/>
        </w:tabs>
        <w:spacing w:line="360" w:lineRule="auto"/>
        <w:rPr>
          <w:rFonts w:ascii="宋体" w:hAnsi="宋体" w:cs="宋体"/>
          <w:bCs/>
          <w:sz w:val="24"/>
        </w:rPr>
      </w:pPr>
      <w:r>
        <w:rPr>
          <w:rFonts w:hint="eastAsia" w:ascii="宋体" w:hAnsi="宋体" w:cs="宋体"/>
          <w:bCs/>
          <w:spacing w:val="8"/>
          <w:sz w:val="24"/>
        </w:rPr>
        <w:t>11.封底</w:t>
      </w:r>
    </w:p>
    <w:p>
      <w:pPr>
        <w:spacing w:line="360" w:lineRule="auto"/>
        <w:rPr>
          <w:rFonts w:ascii="宋体" w:hAnsi="宋体" w:cs="宋体"/>
          <w:b/>
          <w:bCs/>
          <w:sz w:val="24"/>
        </w:rPr>
      </w:pPr>
      <w:r>
        <w:rPr>
          <w:rFonts w:hint="eastAsia" w:ascii="宋体" w:hAnsi="宋体" w:cs="宋体"/>
          <w:b/>
          <w:bCs/>
          <w:sz w:val="24"/>
        </w:rPr>
        <w:t>注：请务必按以上顺序装订资料，如有非中文资料，请同时提供中文翻译件。</w:t>
      </w:r>
    </w:p>
    <w:p>
      <w:pPr>
        <w:snapToGrid w:val="0"/>
        <w:spacing w:line="360" w:lineRule="auto"/>
        <w:ind w:firstLine="487" w:firstLineChars="202"/>
        <w:textAlignment w:val="baseline"/>
        <w:rPr>
          <w:rFonts w:ascii="宋体" w:hAnsi="宋体" w:cs="宋体"/>
          <w:b/>
          <w:bCs/>
          <w:sz w:val="24"/>
        </w:rPr>
      </w:pPr>
    </w:p>
    <w:p>
      <w:pPr>
        <w:tabs>
          <w:tab w:val="left" w:pos="6645"/>
        </w:tabs>
        <w:snapToGrid w:val="0"/>
        <w:spacing w:line="360" w:lineRule="auto"/>
        <w:textAlignment w:val="baseline"/>
        <w:rPr>
          <w:rFonts w:ascii="宋体" w:hAnsi="宋体" w:cs="宋体"/>
          <w:sz w:val="24"/>
        </w:rPr>
      </w:pPr>
    </w:p>
    <w:p>
      <w:pPr>
        <w:tabs>
          <w:tab w:val="left" w:pos="6645"/>
        </w:tabs>
        <w:snapToGrid w:val="0"/>
        <w:spacing w:line="360" w:lineRule="auto"/>
        <w:textAlignment w:val="baseline"/>
        <w:rPr>
          <w:rFonts w:ascii="宋体" w:hAnsi="宋体" w:cs="宋体"/>
          <w:sz w:val="24"/>
        </w:rPr>
      </w:pPr>
    </w:p>
    <w:p>
      <w:pPr>
        <w:tabs>
          <w:tab w:val="left" w:pos="6645"/>
        </w:tabs>
        <w:snapToGrid w:val="0"/>
        <w:spacing w:line="360" w:lineRule="auto"/>
        <w:textAlignment w:val="baseline"/>
        <w:rPr>
          <w:rFonts w:ascii="宋体" w:hAnsi="宋体" w:cs="宋体"/>
          <w:sz w:val="24"/>
        </w:rPr>
      </w:pPr>
    </w:p>
    <w:p>
      <w:pPr>
        <w:tabs>
          <w:tab w:val="left" w:pos="6645"/>
        </w:tabs>
        <w:snapToGrid w:val="0"/>
        <w:spacing w:line="360" w:lineRule="auto"/>
        <w:textAlignment w:val="baseline"/>
        <w:rPr>
          <w:rFonts w:ascii="宋体" w:hAnsi="宋体" w:cs="宋体"/>
          <w:sz w:val="24"/>
        </w:rPr>
      </w:pPr>
    </w:p>
    <w:p>
      <w:pPr>
        <w:tabs>
          <w:tab w:val="left" w:pos="6645"/>
        </w:tabs>
        <w:snapToGrid w:val="0"/>
        <w:spacing w:line="360" w:lineRule="auto"/>
        <w:textAlignment w:val="baseline"/>
        <w:rPr>
          <w:rFonts w:ascii="宋体" w:hAnsi="宋体" w:cs="宋体"/>
          <w:sz w:val="24"/>
        </w:rPr>
      </w:pPr>
    </w:p>
    <w:p>
      <w:pPr>
        <w:tabs>
          <w:tab w:val="left" w:pos="6645"/>
        </w:tabs>
        <w:snapToGrid w:val="0"/>
        <w:spacing w:line="360" w:lineRule="auto"/>
        <w:textAlignment w:val="baseline"/>
        <w:rPr>
          <w:rFonts w:ascii="宋体" w:hAnsi="宋体" w:cs="宋体"/>
          <w:sz w:val="24"/>
        </w:rPr>
      </w:pPr>
    </w:p>
    <w:p>
      <w:pPr>
        <w:pStyle w:val="8"/>
        <w:spacing w:line="360" w:lineRule="auto"/>
        <w:rPr>
          <w:rFonts w:ascii="宋体" w:hAnsi="宋体" w:cs="宋体"/>
          <w:sz w:val="24"/>
        </w:rPr>
      </w:pPr>
    </w:p>
    <w:p>
      <w:pPr>
        <w:spacing w:line="360" w:lineRule="auto"/>
        <w:rPr>
          <w:rFonts w:ascii="宋体" w:hAnsi="宋体" w:cs="宋体"/>
          <w:sz w:val="24"/>
        </w:rPr>
      </w:pPr>
    </w:p>
    <w:p>
      <w:pPr>
        <w:pStyle w:val="8"/>
        <w:spacing w:line="360" w:lineRule="auto"/>
        <w:rPr>
          <w:rFonts w:ascii="宋体" w:hAnsi="宋体" w:cs="宋体"/>
          <w:sz w:val="24"/>
        </w:rPr>
      </w:pPr>
    </w:p>
    <w:p>
      <w:pPr>
        <w:spacing w:line="360" w:lineRule="auto"/>
        <w:rPr>
          <w:rFonts w:ascii="宋体" w:hAnsi="宋体" w:cs="宋体"/>
          <w:sz w:val="24"/>
        </w:rPr>
      </w:pPr>
    </w:p>
    <w:p>
      <w:pPr>
        <w:pStyle w:val="8"/>
        <w:spacing w:line="360" w:lineRule="auto"/>
        <w:rPr>
          <w:rFonts w:ascii="宋体" w:hAnsi="宋体" w:cs="宋体"/>
          <w:sz w:val="24"/>
        </w:rPr>
      </w:pPr>
    </w:p>
    <w:p>
      <w:pPr>
        <w:spacing w:line="360" w:lineRule="auto"/>
        <w:rPr>
          <w:rFonts w:ascii="宋体" w:hAnsi="宋体" w:cs="宋体"/>
          <w:sz w:val="24"/>
        </w:rPr>
      </w:pPr>
    </w:p>
    <w:p>
      <w:pPr>
        <w:pStyle w:val="8"/>
        <w:spacing w:line="360" w:lineRule="auto"/>
        <w:rPr>
          <w:rFonts w:ascii="宋体" w:hAnsi="宋体" w:cs="宋体"/>
          <w:sz w:val="24"/>
        </w:rPr>
      </w:pPr>
    </w:p>
    <w:p>
      <w:pPr>
        <w:spacing w:line="360" w:lineRule="auto"/>
        <w:rPr>
          <w:rFonts w:ascii="宋体" w:hAnsi="宋体" w:cs="宋体"/>
          <w:sz w:val="24"/>
        </w:rPr>
      </w:pPr>
    </w:p>
    <w:p>
      <w:pPr>
        <w:pStyle w:val="8"/>
        <w:spacing w:line="360" w:lineRule="auto"/>
        <w:rPr>
          <w:rFonts w:ascii="宋体" w:hAnsi="宋体" w:cs="宋体"/>
          <w:sz w:val="24"/>
        </w:rPr>
      </w:pPr>
    </w:p>
    <w:p>
      <w:pPr>
        <w:tabs>
          <w:tab w:val="left" w:pos="6645"/>
        </w:tabs>
        <w:snapToGrid w:val="0"/>
        <w:spacing w:line="360" w:lineRule="auto"/>
        <w:textAlignment w:val="baseline"/>
        <w:rPr>
          <w:rFonts w:ascii="宋体" w:hAnsi="宋体" w:cs="宋体"/>
          <w:b/>
          <w:bCs/>
          <w:sz w:val="24"/>
        </w:rPr>
      </w:pPr>
      <w:r>
        <w:rPr>
          <w:rFonts w:hint="eastAsia" w:ascii="宋体" w:hAnsi="宋体" w:cs="宋体"/>
          <w:b/>
          <w:bCs/>
          <w:sz w:val="24"/>
        </w:rPr>
        <w:t>附件4</w:t>
      </w:r>
    </w:p>
    <w:p>
      <w:pPr>
        <w:tabs>
          <w:tab w:val="left" w:pos="6645"/>
        </w:tabs>
        <w:snapToGrid w:val="0"/>
        <w:spacing w:line="360" w:lineRule="auto"/>
        <w:jc w:val="center"/>
        <w:textAlignment w:val="baseline"/>
        <w:rPr>
          <w:rFonts w:ascii="宋体" w:hAnsi="宋体" w:cs="宋体"/>
          <w:sz w:val="24"/>
        </w:rPr>
      </w:pPr>
      <w:r>
        <w:rPr>
          <w:rFonts w:hint="eastAsia" w:ascii="宋体" w:hAnsi="宋体" w:cs="宋体"/>
          <w:sz w:val="24"/>
        </w:rPr>
        <w:t>反商业贿赂承诺书</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二、本厂家、商家、公司保证在药品、医疗器械、设备、物资、基建工程竞标工作及药品、试剂销售等工作中承诺做到：</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1.不与其他投标人相互串通投标报价，损害贵院的合法权益；</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2.不与招标人串通投标，损害国家利益、社会公共利益或他人的合法权益；</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3.不以向招标人或者评标委员会成员行贿的手段谋取中标；</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4.竞标报价不违反相关法律的规定，也不以他人名义投标或者以其他方式弄虚作假，骗取中标；</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5.保证不以其他任何方式扰乱贵院的招标工作；</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6.保证不在药品销售、医疗器械、设备、物资、基建工程竞标中采取账外暗中给予回扣的手段腐蚀、贿赂医护、药剂人员、干部等其他相关人员；</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7.保证不以任何名义包括以宣传费、临床促销费、开单费、处方费、广告费、免费度假、考察旅游、房屋装修等任何名义给予贵院采购人员、药剂人员、医护人员、干部等有关人员以财物或者其他利益；</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8.保证不让贵院临床科室、药剂部门以及有关人员登记、统计医生处方或为此提供方便，干扰贵院的正常工作秩序；</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9.保证不以其他任何不正当竞争手段推销药品、医疗器械、设备、物资。</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三、 本厂家、商家、公司保证竭力维护贵院的声誉，不做任何有损贵院形象的事情。</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五、 对本厂家、商家、公司及本厂家、商家、公司工作人员采取以上手段竞标、促销等，干扰贵院正常工作秩序，损害贵院形象的，本厂家、商家、公司保证：</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1.对尚处在竞标阶段的，贵院有权取消本厂家、商家、公司的竞标资格；已经中标的，贵院有权取消中标；对已经获得准入资格的，贵院有权随时取消本厂家、商家、公司的准入资格；</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2.对本厂家、商家、公司相关工作人员作出严肃处理；</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3.对由于本厂家、商家、公司或本厂家、商家、公司工作人员的上述行为给贵院造成经济或名誉损失的，由本厂家、商家、公司负责，并愿意承担全部民事赔偿责任。</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 xml:space="preserve">六、 采购物资名称：                                   </w:t>
      </w:r>
    </w:p>
    <w:p>
      <w:pPr>
        <w:snapToGrid w:val="0"/>
        <w:spacing w:line="360" w:lineRule="auto"/>
        <w:ind w:firstLine="480" w:firstLineChars="200"/>
        <w:textAlignment w:val="baseline"/>
        <w:rPr>
          <w:rFonts w:ascii="宋体" w:hAnsi="宋体" w:cs="宋体"/>
          <w:sz w:val="24"/>
        </w:rPr>
      </w:pPr>
      <w:r>
        <w:rPr>
          <w:rFonts w:hint="eastAsia" w:ascii="宋体" w:hAnsi="宋体" w:cs="宋体"/>
          <w:sz w:val="24"/>
        </w:rPr>
        <w:t>本《承诺书》一式二份（一份由承诺人自存；一份随竞价书传递）</w:t>
      </w:r>
    </w:p>
    <w:p>
      <w:pPr>
        <w:snapToGrid w:val="0"/>
        <w:spacing w:line="360" w:lineRule="auto"/>
        <w:ind w:firstLine="480" w:firstLineChars="200"/>
        <w:textAlignment w:val="baseline"/>
        <w:rPr>
          <w:rFonts w:ascii="宋体" w:hAnsi="宋体" w:cs="宋体"/>
          <w:sz w:val="24"/>
        </w:rPr>
      </w:pPr>
    </w:p>
    <w:p>
      <w:pPr>
        <w:snapToGrid w:val="0"/>
        <w:spacing w:line="360" w:lineRule="auto"/>
        <w:textAlignment w:val="baseline"/>
        <w:rPr>
          <w:rFonts w:ascii="宋体" w:hAnsi="宋体" w:cs="宋体"/>
          <w:sz w:val="24"/>
        </w:rPr>
      </w:pPr>
      <w:r>
        <w:rPr>
          <w:rFonts w:hint="eastAsia" w:ascii="宋体" w:hAnsi="宋体" w:cs="宋体"/>
          <w:sz w:val="24"/>
        </w:rPr>
        <w:t>承诺企业名称（公章）：</w:t>
      </w:r>
    </w:p>
    <w:p>
      <w:pPr>
        <w:snapToGrid w:val="0"/>
        <w:spacing w:line="360" w:lineRule="auto"/>
        <w:textAlignment w:val="baseline"/>
        <w:rPr>
          <w:rFonts w:ascii="宋体" w:hAnsi="宋体" w:cs="宋体"/>
          <w:sz w:val="24"/>
        </w:rPr>
      </w:pPr>
      <w:r>
        <w:rPr>
          <w:rFonts w:hint="eastAsia" w:ascii="宋体" w:hAnsi="宋体" w:cs="宋体"/>
          <w:sz w:val="24"/>
        </w:rPr>
        <w:t xml:space="preserve">                  </w:t>
      </w:r>
    </w:p>
    <w:p>
      <w:pPr>
        <w:snapToGrid w:val="0"/>
        <w:spacing w:line="360" w:lineRule="auto"/>
        <w:textAlignment w:val="baseline"/>
        <w:rPr>
          <w:rFonts w:ascii="宋体" w:hAnsi="宋体" w:cs="宋体"/>
          <w:sz w:val="24"/>
        </w:rPr>
      </w:pPr>
      <w:r>
        <w:rPr>
          <w:rFonts w:hint="eastAsia" w:ascii="宋体" w:hAnsi="宋体" w:cs="宋体"/>
          <w:sz w:val="24"/>
        </w:rPr>
        <w:t>法人代表或委托代理人（承诺人）：</w:t>
      </w:r>
    </w:p>
    <w:p>
      <w:pPr>
        <w:pStyle w:val="11"/>
        <w:spacing w:line="360" w:lineRule="auto"/>
        <w:rPr>
          <w:rFonts w:ascii="宋体" w:hAnsi="宋体" w:cs="宋体"/>
          <w:sz w:val="24"/>
          <w:szCs w:val="24"/>
        </w:rPr>
      </w:pPr>
    </w:p>
    <w:p>
      <w:pPr>
        <w:pStyle w:val="11"/>
        <w:spacing w:line="360" w:lineRule="auto"/>
        <w:rPr>
          <w:rFonts w:ascii="宋体" w:hAnsi="宋体" w:cs="宋体"/>
          <w:sz w:val="24"/>
          <w:szCs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p>
    <w:p>
      <w:pPr>
        <w:pStyle w:val="2"/>
        <w:spacing w:line="360" w:lineRule="auto"/>
        <w:rPr>
          <w:rFonts w:ascii="宋体" w:hAnsi="宋体" w:cs="宋体"/>
          <w:b/>
          <w:bCs/>
          <w:sz w:val="24"/>
        </w:rPr>
      </w:pPr>
      <w:r>
        <w:rPr>
          <w:rFonts w:hint="eastAsia" w:ascii="宋体" w:hAnsi="宋体" w:cs="宋体"/>
          <w:b/>
          <w:bCs/>
          <w:sz w:val="24"/>
        </w:rPr>
        <w:t xml:space="preserve">附件5 </w:t>
      </w:r>
    </w:p>
    <w:p>
      <w:pPr>
        <w:spacing w:line="360" w:lineRule="auto"/>
        <w:rPr>
          <w:rFonts w:ascii="宋体" w:hAnsi="宋体" w:cs="宋体"/>
          <w:b/>
          <w:bCs/>
          <w:sz w:val="24"/>
        </w:rPr>
      </w:pPr>
    </w:p>
    <w:p>
      <w:pPr>
        <w:spacing w:line="360" w:lineRule="auto"/>
        <w:jc w:val="center"/>
        <w:rPr>
          <w:rFonts w:ascii="宋体" w:hAnsi="宋体" w:cs="宋体"/>
          <w:sz w:val="24"/>
        </w:rPr>
      </w:pPr>
      <w:r>
        <w:rPr>
          <w:rFonts w:hint="eastAsia" w:ascii="宋体" w:hAnsi="宋体" w:cs="宋体"/>
          <w:sz w:val="24"/>
        </w:rPr>
        <w:t>供应商遵守招标采购纪律承诺书</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致四川省妇幼保健院：</w:t>
      </w:r>
    </w:p>
    <w:p>
      <w:pPr>
        <w:spacing w:line="360" w:lineRule="auto"/>
        <w:ind w:firstLine="480" w:firstLineChars="200"/>
        <w:rPr>
          <w:rFonts w:ascii="宋体" w:hAnsi="宋体" w:cs="宋体"/>
          <w:sz w:val="24"/>
        </w:rPr>
      </w:pPr>
      <w:r>
        <w:rPr>
          <w:rFonts w:hint="eastAsia" w:ascii="宋体" w:hAnsi="宋体" w:cs="宋体"/>
          <w:sz w:val="24"/>
        </w:rPr>
        <w:t>我单位作为本次采购项目的供应商，根据响应文件要求，现郑重承诺如下：</w:t>
      </w:r>
    </w:p>
    <w:p>
      <w:pPr>
        <w:spacing w:line="360" w:lineRule="auto"/>
        <w:rPr>
          <w:rFonts w:ascii="宋体" w:hAnsi="宋体" w:cs="宋体"/>
          <w:sz w:val="24"/>
        </w:rPr>
      </w:pPr>
      <w:r>
        <w:rPr>
          <w:rFonts w:hint="eastAsia" w:ascii="宋体" w:hAnsi="宋体" w:cs="宋体"/>
          <w:sz w:val="24"/>
        </w:rPr>
        <w:t>一、参加本次采购活动，我单位不存在与单位负责人为同一人或者存在直接控股、管理关系的其他供应商参与同一合同项下的采购活动的行为。</w:t>
      </w:r>
    </w:p>
    <w:p>
      <w:pPr>
        <w:spacing w:line="360" w:lineRule="auto"/>
        <w:rPr>
          <w:rFonts w:ascii="宋体" w:hAnsi="宋体" w:cs="宋体"/>
          <w:sz w:val="24"/>
        </w:rPr>
      </w:pPr>
      <w:r>
        <w:rPr>
          <w:rFonts w:hint="eastAsia" w:ascii="宋体" w:hAnsi="宋体" w:cs="宋体"/>
          <w:sz w:val="24"/>
        </w:rPr>
        <w:t>二、参加本次采购活动，不得直接或者间接从采购人或者采购代理机构处获得其他供应商的相关情况并修改其投标文件或者响应文件。</w:t>
      </w:r>
    </w:p>
    <w:p>
      <w:pPr>
        <w:spacing w:line="360" w:lineRule="auto"/>
        <w:rPr>
          <w:rFonts w:ascii="宋体" w:hAnsi="宋体" w:cs="宋体"/>
          <w:sz w:val="24"/>
        </w:rPr>
      </w:pPr>
      <w:r>
        <w:rPr>
          <w:rFonts w:hint="eastAsia" w:ascii="宋体" w:hAnsi="宋体" w:cs="宋体"/>
          <w:sz w:val="24"/>
        </w:rPr>
        <w:t>三、参加本次采购活动，不得按照采购人的授意撤换、修改投标文件或者响应文件。</w:t>
      </w:r>
    </w:p>
    <w:p>
      <w:pPr>
        <w:spacing w:line="360" w:lineRule="auto"/>
        <w:rPr>
          <w:rFonts w:ascii="宋体" w:hAnsi="宋体" w:cs="宋体"/>
          <w:sz w:val="24"/>
        </w:rPr>
      </w:pPr>
      <w:r>
        <w:rPr>
          <w:rFonts w:hint="eastAsia" w:ascii="宋体" w:hAnsi="宋体" w:cs="宋体"/>
          <w:sz w:val="24"/>
        </w:rPr>
        <w:t>四、参加本次采购活动，不得和本次采购供应商之间协商报价、技术方案等投标文件或者响应文件的实质性内容。</w:t>
      </w:r>
    </w:p>
    <w:p>
      <w:pPr>
        <w:spacing w:line="360" w:lineRule="auto"/>
        <w:rPr>
          <w:rFonts w:ascii="宋体" w:hAnsi="宋体" w:cs="宋体"/>
          <w:sz w:val="24"/>
        </w:rPr>
      </w:pPr>
      <w:r>
        <w:rPr>
          <w:rFonts w:hint="eastAsia" w:ascii="宋体" w:hAnsi="宋体" w:cs="宋体"/>
          <w:sz w:val="24"/>
        </w:rPr>
        <w:t>五、本次采购活动中，不存在属于同一集团、协会、商会等组织成员的供应商按照该组织要求协同参加本次采购活动。</w:t>
      </w:r>
    </w:p>
    <w:p>
      <w:pPr>
        <w:spacing w:line="360" w:lineRule="auto"/>
        <w:rPr>
          <w:rFonts w:ascii="宋体" w:hAnsi="宋体" w:cs="宋体"/>
          <w:sz w:val="24"/>
        </w:rPr>
      </w:pPr>
      <w:r>
        <w:rPr>
          <w:rFonts w:hint="eastAsia" w:ascii="宋体" w:hAnsi="宋体" w:cs="宋体"/>
          <w:sz w:val="24"/>
        </w:rPr>
        <w:t>六、参加本次采购活动，不存在与其他供应商之间事先约定由某一特定供应商中标、成交。</w:t>
      </w:r>
    </w:p>
    <w:p>
      <w:pPr>
        <w:spacing w:line="360" w:lineRule="auto"/>
        <w:rPr>
          <w:rFonts w:ascii="宋体" w:hAnsi="宋体" w:cs="宋体"/>
          <w:sz w:val="24"/>
        </w:rPr>
      </w:pPr>
      <w:r>
        <w:rPr>
          <w:rFonts w:hint="eastAsia" w:ascii="宋体" w:hAnsi="宋体" w:cs="宋体"/>
          <w:sz w:val="24"/>
        </w:rPr>
        <w:t>七、参加本次采购活动，不存在与其他供应商商定部分供应商放弃参加采购活动或者放弃中标、成交。</w:t>
      </w:r>
    </w:p>
    <w:p>
      <w:pPr>
        <w:spacing w:line="360" w:lineRule="auto"/>
        <w:rPr>
          <w:rFonts w:ascii="宋体" w:hAnsi="宋体" w:cs="宋体"/>
          <w:sz w:val="24"/>
        </w:rPr>
      </w:pPr>
      <w:r>
        <w:rPr>
          <w:rFonts w:hint="eastAsia" w:ascii="宋体" w:hAnsi="宋体" w:cs="宋体"/>
          <w:sz w:val="24"/>
        </w:rPr>
        <w:t>八、参加本次采购活动，不存在我单位的投标文件或者响应文件由其他参与本项目的单位或个人编制或委托办理投标事宜。</w:t>
      </w:r>
    </w:p>
    <w:p>
      <w:pPr>
        <w:spacing w:line="360" w:lineRule="auto"/>
        <w:rPr>
          <w:rFonts w:ascii="宋体" w:hAnsi="宋体" w:cs="宋体"/>
          <w:sz w:val="24"/>
        </w:rPr>
      </w:pPr>
      <w:r>
        <w:rPr>
          <w:rFonts w:hint="eastAsia" w:ascii="宋体" w:hAnsi="宋体" w:cs="宋体"/>
          <w:sz w:val="24"/>
        </w:rPr>
        <w:t>九、参加本次采购活动，不存在我单位与采购人之间、供应商相互之间，为谋求特定供应商中标、成交或者排斥其他供应商的其他串通行为。</w:t>
      </w:r>
    </w:p>
    <w:p>
      <w:pPr>
        <w:spacing w:line="360" w:lineRule="auto"/>
        <w:rPr>
          <w:rFonts w:ascii="宋体" w:hAnsi="宋体" w:cs="宋体"/>
          <w:sz w:val="24"/>
        </w:rPr>
      </w:pPr>
      <w:r>
        <w:rPr>
          <w:rFonts w:hint="eastAsia" w:ascii="宋体" w:hAnsi="宋体" w:cs="宋体"/>
          <w:sz w:val="24"/>
        </w:rPr>
        <w:t>十、与我方存在直接控股关系的单位为：XXX；存在管理关系单位为：XXX。</w:t>
      </w:r>
    </w:p>
    <w:p>
      <w:pPr>
        <w:spacing w:line="360" w:lineRule="auto"/>
        <w:rPr>
          <w:rFonts w:ascii="宋体" w:hAnsi="宋体" w:cs="宋体"/>
          <w:sz w:val="24"/>
        </w:rPr>
      </w:pPr>
      <w:r>
        <w:rPr>
          <w:rFonts w:hint="eastAsia" w:ascii="宋体" w:hAnsi="宋体" w:cs="宋体"/>
          <w:sz w:val="24"/>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供应商名称（单位公章）：                          </w:t>
      </w:r>
    </w:p>
    <w:p>
      <w:pPr>
        <w:spacing w:line="360" w:lineRule="auto"/>
        <w:rPr>
          <w:rFonts w:ascii="宋体" w:hAnsi="宋体" w:cs="宋体"/>
          <w:sz w:val="24"/>
        </w:rPr>
      </w:pPr>
      <w:r>
        <w:rPr>
          <w:rFonts w:hint="eastAsia" w:ascii="宋体" w:hAnsi="宋体" w:cs="宋体"/>
          <w:sz w:val="24"/>
        </w:rPr>
        <w:t>法定代表人/单位负责人或授权代表（签字或加盖个人名章）：</w:t>
      </w:r>
    </w:p>
    <w:p>
      <w:pPr>
        <w:spacing w:line="360" w:lineRule="auto"/>
        <w:ind w:firstLine="6240" w:firstLineChars="2600"/>
        <w:jc w:val="left"/>
        <w:rPr>
          <w:rFonts w:ascii="宋体" w:hAnsi="宋体" w:cs="宋体"/>
          <w:sz w:val="24"/>
        </w:rPr>
      </w:pPr>
      <w:r>
        <w:rPr>
          <w:rFonts w:hint="eastAsia" w:ascii="宋体" w:hAnsi="宋体" w:cs="宋体"/>
          <w:sz w:val="24"/>
        </w:rPr>
        <w:t>年 月 日</w:t>
      </w:r>
    </w:p>
    <w:p>
      <w:pPr>
        <w:pStyle w:val="11"/>
        <w:spacing w:line="360" w:lineRule="auto"/>
        <w:rPr>
          <w:rFonts w:ascii="宋体" w:hAnsi="宋体" w:cs="宋体"/>
          <w:sz w:val="24"/>
          <w:szCs w:val="24"/>
        </w:rPr>
      </w:pPr>
    </w:p>
    <w:p>
      <w:pPr>
        <w:snapToGrid w:val="0"/>
        <w:spacing w:line="360" w:lineRule="auto"/>
        <w:textAlignment w:val="baseline"/>
        <w:rPr>
          <w:rFonts w:ascii="宋体" w:hAnsi="宋体" w:cs="宋体"/>
          <w:b/>
          <w:bCs/>
          <w:sz w:val="24"/>
        </w:rPr>
      </w:pPr>
    </w:p>
    <w:p>
      <w:pPr>
        <w:spacing w:line="360" w:lineRule="auto"/>
        <w:ind w:firstLine="6240" w:firstLineChars="2600"/>
        <w:jc w:val="left"/>
        <w:rPr>
          <w:rFonts w:ascii="宋体" w:hAnsi="宋体" w:cs="宋体"/>
          <w:sz w:val="24"/>
        </w:rPr>
      </w:pPr>
    </w:p>
    <w:p>
      <w:pPr>
        <w:spacing w:line="360" w:lineRule="auto"/>
        <w:rPr>
          <w:rFonts w:ascii="宋体" w:hAnsi="宋体" w:cs="宋体"/>
          <w:sz w:val="24"/>
        </w:rPr>
      </w:pPr>
    </w:p>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abstractNum w:abstractNumId="1">
    <w:nsid w:val="BC65D68B"/>
    <w:multiLevelType w:val="singleLevel"/>
    <w:tmpl w:val="BC65D68B"/>
    <w:lvl w:ilvl="0" w:tentative="0">
      <w:start w:val="5"/>
      <w:numFmt w:val="decimal"/>
      <w:lvlText w:val="%1."/>
      <w:lvlJc w:val="left"/>
      <w:pPr>
        <w:tabs>
          <w:tab w:val="left" w:pos="312"/>
        </w:tabs>
      </w:pPr>
    </w:lvl>
  </w:abstractNum>
  <w:abstractNum w:abstractNumId="2">
    <w:nsid w:val="E66A6062"/>
    <w:multiLevelType w:val="singleLevel"/>
    <w:tmpl w:val="E66A6062"/>
    <w:lvl w:ilvl="0" w:tentative="0">
      <w:start w:val="1"/>
      <w:numFmt w:val="decimal"/>
      <w:lvlText w:val="%1."/>
      <w:lvlJc w:val="left"/>
      <w:pPr>
        <w:tabs>
          <w:tab w:val="left" w:pos="312"/>
        </w:tabs>
      </w:pPr>
    </w:lvl>
  </w:abstractNum>
  <w:abstractNum w:abstractNumId="3">
    <w:nsid w:val="ED312BD7"/>
    <w:multiLevelType w:val="singleLevel"/>
    <w:tmpl w:val="ED312BD7"/>
    <w:lvl w:ilvl="0" w:tentative="0">
      <w:start w:val="1"/>
      <w:numFmt w:val="decimal"/>
      <w:lvlText w:val="%1."/>
      <w:lvlJc w:val="left"/>
      <w:pPr>
        <w:tabs>
          <w:tab w:val="left" w:pos="312"/>
        </w:tabs>
      </w:pPr>
    </w:lvl>
  </w:abstractNum>
  <w:abstractNum w:abstractNumId="4">
    <w:nsid w:val="38513304"/>
    <w:multiLevelType w:val="multilevel"/>
    <w:tmpl w:val="38513304"/>
    <w:lvl w:ilvl="0" w:tentative="0">
      <w:start w:val="3"/>
      <w:numFmt w:val="bullet"/>
      <w:lvlText w:val="★"/>
      <w:lvlJc w:val="left"/>
      <w:pPr>
        <w:tabs>
          <w:tab w:val="left" w:pos="480"/>
        </w:tabs>
        <w:ind w:left="480" w:hanging="360"/>
      </w:pPr>
      <w:rPr>
        <w:rFonts w:hint="eastAsia" w:ascii="宋体" w:hAnsi="宋体" w:eastAsia="宋体" w:cs="Times New Roman"/>
      </w:rPr>
    </w:lvl>
    <w:lvl w:ilvl="1" w:tentative="0">
      <w:start w:val="1"/>
      <w:numFmt w:val="bullet"/>
      <w:lvlText w:val=""/>
      <w:lvlJc w:val="left"/>
      <w:pPr>
        <w:tabs>
          <w:tab w:val="left" w:pos="960"/>
        </w:tabs>
        <w:ind w:left="960" w:hanging="420"/>
      </w:pPr>
      <w:rPr>
        <w:rFonts w:hint="default" w:ascii="Wingdings" w:hAnsi="Wingdings"/>
      </w:rPr>
    </w:lvl>
    <w:lvl w:ilvl="2" w:tentative="0">
      <w:start w:val="1"/>
      <w:numFmt w:val="bullet"/>
      <w:lvlText w:val=""/>
      <w:lvlJc w:val="left"/>
      <w:pPr>
        <w:tabs>
          <w:tab w:val="left" w:pos="1380"/>
        </w:tabs>
        <w:ind w:left="1380" w:hanging="420"/>
      </w:pPr>
      <w:rPr>
        <w:rFonts w:hint="default" w:ascii="Wingdings" w:hAnsi="Wingdings"/>
      </w:rPr>
    </w:lvl>
    <w:lvl w:ilvl="3" w:tentative="0">
      <w:start w:val="1"/>
      <w:numFmt w:val="bullet"/>
      <w:lvlText w:val=""/>
      <w:lvlJc w:val="left"/>
      <w:pPr>
        <w:tabs>
          <w:tab w:val="left" w:pos="1800"/>
        </w:tabs>
        <w:ind w:left="1800" w:hanging="420"/>
      </w:pPr>
      <w:rPr>
        <w:rFonts w:hint="default" w:ascii="Wingdings" w:hAnsi="Wingdings"/>
      </w:rPr>
    </w:lvl>
    <w:lvl w:ilvl="4" w:tentative="0">
      <w:start w:val="1"/>
      <w:numFmt w:val="bullet"/>
      <w:lvlText w:val=""/>
      <w:lvlJc w:val="left"/>
      <w:pPr>
        <w:tabs>
          <w:tab w:val="left" w:pos="2220"/>
        </w:tabs>
        <w:ind w:left="2220" w:hanging="420"/>
      </w:pPr>
      <w:rPr>
        <w:rFonts w:hint="default" w:ascii="Wingdings" w:hAnsi="Wingdings"/>
      </w:rPr>
    </w:lvl>
    <w:lvl w:ilvl="5" w:tentative="0">
      <w:start w:val="1"/>
      <w:numFmt w:val="bullet"/>
      <w:lvlText w:val=""/>
      <w:lvlJc w:val="left"/>
      <w:pPr>
        <w:tabs>
          <w:tab w:val="left" w:pos="2640"/>
        </w:tabs>
        <w:ind w:left="2640" w:hanging="420"/>
      </w:pPr>
      <w:rPr>
        <w:rFonts w:hint="default" w:ascii="Wingdings" w:hAnsi="Wingdings"/>
      </w:rPr>
    </w:lvl>
    <w:lvl w:ilvl="6" w:tentative="0">
      <w:start w:val="1"/>
      <w:numFmt w:val="bullet"/>
      <w:lvlText w:val=""/>
      <w:lvlJc w:val="left"/>
      <w:pPr>
        <w:tabs>
          <w:tab w:val="left" w:pos="3060"/>
        </w:tabs>
        <w:ind w:left="3060" w:hanging="420"/>
      </w:pPr>
      <w:rPr>
        <w:rFonts w:hint="default" w:ascii="Wingdings" w:hAnsi="Wingdings"/>
      </w:rPr>
    </w:lvl>
    <w:lvl w:ilvl="7" w:tentative="0">
      <w:start w:val="1"/>
      <w:numFmt w:val="bullet"/>
      <w:lvlText w:val=""/>
      <w:lvlJc w:val="left"/>
      <w:pPr>
        <w:tabs>
          <w:tab w:val="left" w:pos="3480"/>
        </w:tabs>
        <w:ind w:left="3480" w:hanging="420"/>
      </w:pPr>
      <w:rPr>
        <w:rFonts w:hint="default" w:ascii="Wingdings" w:hAnsi="Wingdings"/>
      </w:rPr>
    </w:lvl>
    <w:lvl w:ilvl="8" w:tentative="0">
      <w:start w:val="1"/>
      <w:numFmt w:val="bullet"/>
      <w:lvlText w:val=""/>
      <w:lvlJc w:val="left"/>
      <w:pPr>
        <w:tabs>
          <w:tab w:val="left" w:pos="3900"/>
        </w:tabs>
        <w:ind w:left="3900" w:hanging="420"/>
      </w:pPr>
      <w:rPr>
        <w:rFonts w:hint="default" w:ascii="Wingdings" w:hAnsi="Wingdings"/>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wZmE0ZmU3Y2M1ZWQ5MWU4OTc0ZDQ0OGMzYzM2NmMifQ=="/>
  </w:docVars>
  <w:rsids>
    <w:rsidRoot w:val="5244176A"/>
    <w:rsid w:val="00051017"/>
    <w:rsid w:val="00196738"/>
    <w:rsid w:val="0040391A"/>
    <w:rsid w:val="005E438A"/>
    <w:rsid w:val="006548B4"/>
    <w:rsid w:val="00984987"/>
    <w:rsid w:val="00B249B3"/>
    <w:rsid w:val="00C75DE8"/>
    <w:rsid w:val="00F03516"/>
    <w:rsid w:val="01582E9F"/>
    <w:rsid w:val="022561DB"/>
    <w:rsid w:val="024B5F91"/>
    <w:rsid w:val="02E53A75"/>
    <w:rsid w:val="0423435A"/>
    <w:rsid w:val="04C176DC"/>
    <w:rsid w:val="058C61CE"/>
    <w:rsid w:val="05CD03BE"/>
    <w:rsid w:val="0619570F"/>
    <w:rsid w:val="0649045C"/>
    <w:rsid w:val="07AF5FEE"/>
    <w:rsid w:val="07CF155D"/>
    <w:rsid w:val="088710D9"/>
    <w:rsid w:val="08885AFA"/>
    <w:rsid w:val="094F5478"/>
    <w:rsid w:val="09F4147B"/>
    <w:rsid w:val="0A277760"/>
    <w:rsid w:val="0A5C798D"/>
    <w:rsid w:val="0ACF324E"/>
    <w:rsid w:val="0B565E48"/>
    <w:rsid w:val="0B5E2A33"/>
    <w:rsid w:val="0BC814CA"/>
    <w:rsid w:val="0BEE2322"/>
    <w:rsid w:val="0C1A446B"/>
    <w:rsid w:val="0CC42C4A"/>
    <w:rsid w:val="0CE1020E"/>
    <w:rsid w:val="0CE90D83"/>
    <w:rsid w:val="0D272843"/>
    <w:rsid w:val="0E1B1632"/>
    <w:rsid w:val="0E3A7EF6"/>
    <w:rsid w:val="0F4628CF"/>
    <w:rsid w:val="0F71729A"/>
    <w:rsid w:val="0F914A2F"/>
    <w:rsid w:val="0FC30CF8"/>
    <w:rsid w:val="0FD4292A"/>
    <w:rsid w:val="10863CAA"/>
    <w:rsid w:val="109819C6"/>
    <w:rsid w:val="10D5167D"/>
    <w:rsid w:val="112F7D4C"/>
    <w:rsid w:val="114C276E"/>
    <w:rsid w:val="11584002"/>
    <w:rsid w:val="11C90E3E"/>
    <w:rsid w:val="129243DD"/>
    <w:rsid w:val="12BB52A2"/>
    <w:rsid w:val="13E76168"/>
    <w:rsid w:val="15855BCE"/>
    <w:rsid w:val="15B71161"/>
    <w:rsid w:val="16795C6E"/>
    <w:rsid w:val="16D556D3"/>
    <w:rsid w:val="16EF58AD"/>
    <w:rsid w:val="177F6166"/>
    <w:rsid w:val="192B394B"/>
    <w:rsid w:val="196B01BF"/>
    <w:rsid w:val="19B376BA"/>
    <w:rsid w:val="1A8B0593"/>
    <w:rsid w:val="1ABA6BE8"/>
    <w:rsid w:val="1B580DC3"/>
    <w:rsid w:val="1C151423"/>
    <w:rsid w:val="1C4D469C"/>
    <w:rsid w:val="1C962C76"/>
    <w:rsid w:val="1D7B096A"/>
    <w:rsid w:val="1D7D134A"/>
    <w:rsid w:val="1DC80A69"/>
    <w:rsid w:val="1E6F498B"/>
    <w:rsid w:val="1E9514A0"/>
    <w:rsid w:val="1F051509"/>
    <w:rsid w:val="1F5C0367"/>
    <w:rsid w:val="1FD72787"/>
    <w:rsid w:val="20AF2A2B"/>
    <w:rsid w:val="20EF1296"/>
    <w:rsid w:val="2161289E"/>
    <w:rsid w:val="21AD5563"/>
    <w:rsid w:val="220A5266"/>
    <w:rsid w:val="221029F2"/>
    <w:rsid w:val="231A50A3"/>
    <w:rsid w:val="23305048"/>
    <w:rsid w:val="23B35621"/>
    <w:rsid w:val="2487307B"/>
    <w:rsid w:val="25101CDA"/>
    <w:rsid w:val="2559103D"/>
    <w:rsid w:val="25685003"/>
    <w:rsid w:val="256C23F4"/>
    <w:rsid w:val="259F515E"/>
    <w:rsid w:val="25C97BEE"/>
    <w:rsid w:val="26B15EC1"/>
    <w:rsid w:val="26E41B28"/>
    <w:rsid w:val="280B1A43"/>
    <w:rsid w:val="281955CF"/>
    <w:rsid w:val="281D195D"/>
    <w:rsid w:val="284E331E"/>
    <w:rsid w:val="29266E1A"/>
    <w:rsid w:val="294E6CE2"/>
    <w:rsid w:val="2A044599"/>
    <w:rsid w:val="2A0F7B8F"/>
    <w:rsid w:val="2A752E1D"/>
    <w:rsid w:val="2AAB7A0D"/>
    <w:rsid w:val="2B05240B"/>
    <w:rsid w:val="2BF4266B"/>
    <w:rsid w:val="2CB371D5"/>
    <w:rsid w:val="2CF3776A"/>
    <w:rsid w:val="2D0C3CF4"/>
    <w:rsid w:val="2D611200"/>
    <w:rsid w:val="2D7F4851"/>
    <w:rsid w:val="2E24194D"/>
    <w:rsid w:val="30806B9E"/>
    <w:rsid w:val="30B43B75"/>
    <w:rsid w:val="31650772"/>
    <w:rsid w:val="31E9143D"/>
    <w:rsid w:val="32AB622F"/>
    <w:rsid w:val="33886860"/>
    <w:rsid w:val="33AC7480"/>
    <w:rsid w:val="33C2339E"/>
    <w:rsid w:val="347C06A8"/>
    <w:rsid w:val="34A55F9D"/>
    <w:rsid w:val="34BE33D7"/>
    <w:rsid w:val="35344E80"/>
    <w:rsid w:val="355B0222"/>
    <w:rsid w:val="35B83942"/>
    <w:rsid w:val="35DB18E9"/>
    <w:rsid w:val="361A126B"/>
    <w:rsid w:val="36545D30"/>
    <w:rsid w:val="36BF0CFE"/>
    <w:rsid w:val="37671CCB"/>
    <w:rsid w:val="37CD13CC"/>
    <w:rsid w:val="383D10D3"/>
    <w:rsid w:val="38A34827"/>
    <w:rsid w:val="39A43E9E"/>
    <w:rsid w:val="3AF55DC9"/>
    <w:rsid w:val="3B93114B"/>
    <w:rsid w:val="3BC236C1"/>
    <w:rsid w:val="3BDD1C9A"/>
    <w:rsid w:val="3C6234CA"/>
    <w:rsid w:val="3CD70823"/>
    <w:rsid w:val="3D5123A5"/>
    <w:rsid w:val="3DE1142F"/>
    <w:rsid w:val="3E3C3D7F"/>
    <w:rsid w:val="3ED7096D"/>
    <w:rsid w:val="3F0F3FAB"/>
    <w:rsid w:val="3F3D74FE"/>
    <w:rsid w:val="3FBC281F"/>
    <w:rsid w:val="418903BA"/>
    <w:rsid w:val="418D051C"/>
    <w:rsid w:val="41CE33DE"/>
    <w:rsid w:val="42733C91"/>
    <w:rsid w:val="432A1B18"/>
    <w:rsid w:val="434F66F3"/>
    <w:rsid w:val="43E06BC0"/>
    <w:rsid w:val="448F2D07"/>
    <w:rsid w:val="450B6A83"/>
    <w:rsid w:val="45323119"/>
    <w:rsid w:val="4537221B"/>
    <w:rsid w:val="45447252"/>
    <w:rsid w:val="45631693"/>
    <w:rsid w:val="457110FB"/>
    <w:rsid w:val="467B4E31"/>
    <w:rsid w:val="46B53D11"/>
    <w:rsid w:val="480004B0"/>
    <w:rsid w:val="482F6A1D"/>
    <w:rsid w:val="495777FB"/>
    <w:rsid w:val="4A275658"/>
    <w:rsid w:val="4AF20173"/>
    <w:rsid w:val="4B0C6E2E"/>
    <w:rsid w:val="4BAE772A"/>
    <w:rsid w:val="4BB17333"/>
    <w:rsid w:val="4C1053D7"/>
    <w:rsid w:val="4C4A7B3B"/>
    <w:rsid w:val="4C4F073F"/>
    <w:rsid w:val="4C8B4D21"/>
    <w:rsid w:val="4CC0557B"/>
    <w:rsid w:val="4CD40998"/>
    <w:rsid w:val="4CEA1A71"/>
    <w:rsid w:val="4DC3281F"/>
    <w:rsid w:val="4DFC16FF"/>
    <w:rsid w:val="4E0C32C7"/>
    <w:rsid w:val="50066CA3"/>
    <w:rsid w:val="504533AC"/>
    <w:rsid w:val="50485D02"/>
    <w:rsid w:val="518B59E0"/>
    <w:rsid w:val="51E332DC"/>
    <w:rsid w:val="5244176A"/>
    <w:rsid w:val="52622C38"/>
    <w:rsid w:val="53780202"/>
    <w:rsid w:val="541532F3"/>
    <w:rsid w:val="542B7CA6"/>
    <w:rsid w:val="544669FD"/>
    <w:rsid w:val="54F21968"/>
    <w:rsid w:val="550310E3"/>
    <w:rsid w:val="55BB16B6"/>
    <w:rsid w:val="566A423C"/>
    <w:rsid w:val="572B3928"/>
    <w:rsid w:val="574F6249"/>
    <w:rsid w:val="57AD74C8"/>
    <w:rsid w:val="58071A1F"/>
    <w:rsid w:val="599B1691"/>
    <w:rsid w:val="59DD570D"/>
    <w:rsid w:val="5BCC0500"/>
    <w:rsid w:val="5E613920"/>
    <w:rsid w:val="5E8575A0"/>
    <w:rsid w:val="5ECC5796"/>
    <w:rsid w:val="5F2F1FEB"/>
    <w:rsid w:val="606964BC"/>
    <w:rsid w:val="616E24E6"/>
    <w:rsid w:val="619A462F"/>
    <w:rsid w:val="62312A9D"/>
    <w:rsid w:val="62CF1CB5"/>
    <w:rsid w:val="63323318"/>
    <w:rsid w:val="63545F00"/>
    <w:rsid w:val="635C21B5"/>
    <w:rsid w:val="64202DC6"/>
    <w:rsid w:val="64DE698B"/>
    <w:rsid w:val="652E7A0E"/>
    <w:rsid w:val="68355788"/>
    <w:rsid w:val="6841159B"/>
    <w:rsid w:val="687F107F"/>
    <w:rsid w:val="68822004"/>
    <w:rsid w:val="6A6F1DC6"/>
    <w:rsid w:val="6AB06D96"/>
    <w:rsid w:val="6AC90B84"/>
    <w:rsid w:val="6B405AFC"/>
    <w:rsid w:val="6B651B3A"/>
    <w:rsid w:val="6BD8207B"/>
    <w:rsid w:val="6C8C2E23"/>
    <w:rsid w:val="6CA17546"/>
    <w:rsid w:val="6D870634"/>
    <w:rsid w:val="6E894E68"/>
    <w:rsid w:val="6F147769"/>
    <w:rsid w:val="6F2B72B3"/>
    <w:rsid w:val="6F7F20D5"/>
    <w:rsid w:val="706C4FFD"/>
    <w:rsid w:val="70B90980"/>
    <w:rsid w:val="71105B0B"/>
    <w:rsid w:val="71726BAE"/>
    <w:rsid w:val="71D8190B"/>
    <w:rsid w:val="72740C55"/>
    <w:rsid w:val="72C15BE9"/>
    <w:rsid w:val="72F06D27"/>
    <w:rsid w:val="7328385A"/>
    <w:rsid w:val="739065EB"/>
    <w:rsid w:val="73DF11F6"/>
    <w:rsid w:val="73F26EC8"/>
    <w:rsid w:val="74206FB2"/>
    <w:rsid w:val="74352E35"/>
    <w:rsid w:val="74410750"/>
    <w:rsid w:val="74882E94"/>
    <w:rsid w:val="750F3E1D"/>
    <w:rsid w:val="75F21E91"/>
    <w:rsid w:val="761B77D2"/>
    <w:rsid w:val="76880984"/>
    <w:rsid w:val="76A43EB3"/>
    <w:rsid w:val="76A72C39"/>
    <w:rsid w:val="77E2713E"/>
    <w:rsid w:val="78A07BDA"/>
    <w:rsid w:val="78B64B97"/>
    <w:rsid w:val="79257DFE"/>
    <w:rsid w:val="7AB46BDC"/>
    <w:rsid w:val="7B5209E2"/>
    <w:rsid w:val="7BA577E9"/>
    <w:rsid w:val="7C28453F"/>
    <w:rsid w:val="7C5A278F"/>
    <w:rsid w:val="7C6543A4"/>
    <w:rsid w:val="7C7D1A4A"/>
    <w:rsid w:val="7CA56C98"/>
    <w:rsid w:val="7CDA4005"/>
    <w:rsid w:val="7D1A2BCE"/>
    <w:rsid w:val="7D512D27"/>
    <w:rsid w:val="7D566EE8"/>
    <w:rsid w:val="7D9A1C2E"/>
    <w:rsid w:val="7E345685"/>
    <w:rsid w:val="7E6D09FF"/>
    <w:rsid w:val="7E7A53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4">
    <w:name w:val="Body Text Indent"/>
    <w:basedOn w:val="1"/>
    <w:qFormat/>
    <w:uiPriority w:val="0"/>
    <w:pPr>
      <w:ind w:firstLine="630"/>
    </w:pPr>
    <w:rPr>
      <w:sz w:val="32"/>
      <w:szCs w:val="20"/>
    </w:rPr>
  </w:style>
  <w:style w:type="paragraph" w:styleId="5">
    <w:name w:val="Plain Text"/>
    <w:basedOn w:val="1"/>
    <w:qFormat/>
    <w:uiPriority w:val="0"/>
    <w:pPr>
      <w:spacing w:line="460" w:lineRule="exact"/>
      <w:ind w:firstLine="567"/>
    </w:pPr>
    <w:rPr>
      <w:rFonts w:ascii="宋体" w:hAnsi="Courier New" w:eastAsia="仿宋_GB2312"/>
      <w:sz w:val="28"/>
      <w:szCs w:val="20"/>
    </w:rPr>
  </w:style>
  <w:style w:type="paragraph" w:styleId="6">
    <w:name w:val="footer"/>
    <w:basedOn w:val="1"/>
    <w:link w:val="23"/>
    <w:qFormat/>
    <w:uiPriority w:val="0"/>
    <w:pPr>
      <w:tabs>
        <w:tab w:val="center" w:pos="4153"/>
        <w:tab w:val="right" w:pos="8306"/>
      </w:tabs>
      <w:snapToGrid w:val="0"/>
      <w:jc w:val="left"/>
    </w:pPr>
    <w:rPr>
      <w:sz w:val="18"/>
      <w:szCs w:val="18"/>
    </w:rPr>
  </w:style>
  <w:style w:type="paragraph" w:styleId="7">
    <w:name w:val="header"/>
    <w:basedOn w:val="1"/>
    <w:link w:val="22"/>
    <w:qFormat/>
    <w:uiPriority w:val="0"/>
    <w:pPr>
      <w:tabs>
        <w:tab w:val="center" w:pos="4153"/>
        <w:tab w:val="right" w:pos="8306"/>
      </w:tabs>
      <w:snapToGrid w:val="0"/>
      <w:jc w:val="center"/>
    </w:pPr>
    <w:rPr>
      <w:sz w:val="18"/>
      <w:szCs w:val="18"/>
    </w:rPr>
  </w:style>
  <w:style w:type="paragraph" w:styleId="8">
    <w:name w:val="toc 1"/>
    <w:basedOn w:val="1"/>
    <w:next w:val="1"/>
    <w:qFormat/>
    <w:uiPriority w:val="0"/>
    <w:pPr>
      <w:spacing w:line="180" w:lineRule="auto"/>
      <w:jc w:val="center"/>
    </w:pPr>
    <w:rPr>
      <w:sz w:val="30"/>
    </w:rPr>
  </w:style>
  <w:style w:type="paragraph" w:styleId="9">
    <w:name w:val="footnote text"/>
    <w:basedOn w:val="1"/>
    <w:qFormat/>
    <w:uiPriority w:val="99"/>
    <w:pPr>
      <w:snapToGrid w:val="0"/>
      <w:jc w:val="left"/>
    </w:pPr>
    <w:rPr>
      <w:rFonts w:ascii="宋体" w:hAnsi="Times New Roman"/>
      <w:kern w:val="0"/>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4"/>
    <w:qFormat/>
    <w:uiPriority w:val="0"/>
    <w:pPr>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qFormat/>
    <w:uiPriority w:val="99"/>
    <w:rPr>
      <w:sz w:val="21"/>
      <w:szCs w:val="21"/>
    </w:rPr>
  </w:style>
  <w:style w:type="paragraph" w:customStyle="1" w:styleId="16">
    <w:name w:val="样式 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GW-正文"/>
    <w:basedOn w:val="1"/>
    <w:qFormat/>
    <w:uiPriority w:val="0"/>
    <w:pPr>
      <w:spacing w:line="360" w:lineRule="auto"/>
      <w:ind w:firstLine="200" w:firstLineChars="200"/>
    </w:pPr>
    <w:rPr>
      <w:rFonts w:eastAsia="仿宋_GB2312"/>
      <w:sz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_Style 3"/>
    <w:basedOn w:val="1"/>
    <w:qFormat/>
    <w:uiPriority w:val="0"/>
    <w:pPr>
      <w:ind w:firstLine="420" w:firstLineChars="200"/>
    </w:pPr>
    <w:rPr>
      <w:sz w:val="20"/>
    </w:rPr>
  </w:style>
  <w:style w:type="character" w:customStyle="1" w:styleId="20">
    <w:name w:val="font21"/>
    <w:basedOn w:val="14"/>
    <w:qFormat/>
    <w:uiPriority w:val="0"/>
    <w:rPr>
      <w:rFonts w:hint="default" w:ascii="华文仿宋" w:hAnsi="华文仿宋" w:eastAsia="华文仿宋" w:cs="华文仿宋"/>
      <w:b/>
      <w:bCs/>
      <w:color w:val="000000"/>
      <w:sz w:val="18"/>
      <w:szCs w:val="18"/>
      <w:u w:val="none"/>
    </w:rPr>
  </w:style>
  <w:style w:type="character" w:customStyle="1" w:styleId="21">
    <w:name w:val="font31"/>
    <w:basedOn w:val="14"/>
    <w:qFormat/>
    <w:uiPriority w:val="0"/>
    <w:rPr>
      <w:rFonts w:hint="default" w:ascii="华文仿宋" w:hAnsi="华文仿宋" w:eastAsia="华文仿宋" w:cs="华文仿宋"/>
      <w:color w:val="000000"/>
      <w:sz w:val="18"/>
      <w:szCs w:val="18"/>
      <w:u w:val="none"/>
    </w:rPr>
  </w:style>
  <w:style w:type="character" w:customStyle="1" w:styleId="22">
    <w:name w:val="页眉 字符"/>
    <w:basedOn w:val="14"/>
    <w:link w:val="7"/>
    <w:qFormat/>
    <w:uiPriority w:val="0"/>
    <w:rPr>
      <w:rFonts w:ascii="Calibri" w:hAnsi="Calibri"/>
      <w:kern w:val="2"/>
      <w:sz w:val="18"/>
      <w:szCs w:val="18"/>
    </w:rPr>
  </w:style>
  <w:style w:type="character" w:customStyle="1" w:styleId="23">
    <w:name w:val="页脚 字符"/>
    <w:basedOn w:val="14"/>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7550</Words>
  <Characters>7994</Characters>
  <Lines>64</Lines>
  <Paragraphs>18</Paragraphs>
  <TotalTime>1</TotalTime>
  <ScaleCrop>false</ScaleCrop>
  <LinksUpToDate>false</LinksUpToDate>
  <CharactersWithSpaces>8459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2024-05-29T09:37:00Z</dcterms:created>
  <dc:creator>罗珊珊</dc:creator>
  <cp:lastModifiedBy>罗珊珊</cp:lastModifiedBy>
  <dcterms:modified xsi:type="dcterms:W3CDTF">2024-05-31T01:25:52Z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796B92C70F0F4764B01F0098AFD1D00F_12</vt:lpwstr>
  </property>
</Properties>
</file>