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sz w:val="40"/>
          <w:szCs w:val="4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w:t>
      </w:r>
      <w:bookmarkStart w:id="135" w:name="_GoBack"/>
      <w:bookmarkEnd w:id="135"/>
      <w:r>
        <w:rPr>
          <w:rFonts w:hint="eastAsia" w:ascii="宋体" w:hAnsi="宋体" w:eastAsia="宋体" w:cs="仿宋"/>
          <w:sz w:val="24"/>
          <w:szCs w:val="24"/>
          <w:lang w:val="en-US" w:eastAsia="zh-CN"/>
        </w:rPr>
        <w:t>SCFY-YXZB202405-005（磋）</w:t>
      </w:r>
    </w:p>
    <w:p>
      <w:pPr>
        <w:keepNext w:val="0"/>
        <w:keepLines w:val="0"/>
        <w:widowControl/>
        <w:suppressLineNumbers w:val="0"/>
        <w:wordWrap w:val="0"/>
        <w:jc w:val="left"/>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ascii="宋体" w:hAnsi="宋体" w:eastAsia="宋体" w:cs="宋体"/>
          <w:kern w:val="0"/>
          <w:sz w:val="24"/>
          <w:szCs w:val="24"/>
          <w:lang w:val="en-US" w:eastAsia="zh-CN" w:bidi="ar"/>
        </w:rPr>
        <w:t>400000</w:t>
      </w:r>
      <w:r>
        <w:rPr>
          <w:rFonts w:ascii="宋体" w:hAnsi="宋体" w:eastAsia="宋体" w:cs="宋体"/>
          <w:sz w:val="24"/>
          <w:szCs w:val="24"/>
        </w:rPr>
        <w:t xml:space="preserve">（元） </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0"/>
        <w:gridCol w:w="996"/>
        <w:gridCol w:w="808"/>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00" w:type="dxa"/>
            <w:noWrap w:val="0"/>
            <w:vAlign w:val="center"/>
          </w:tcPr>
          <w:p>
            <w:pPr>
              <w:autoSpaceDE w:val="0"/>
              <w:autoSpaceDN w:val="0"/>
              <w:jc w:val="center"/>
              <w:rPr>
                <w:rFonts w:ascii="宋体" w:hAnsi="宋体"/>
                <w:b/>
                <w:sz w:val="21"/>
                <w:szCs w:val="21"/>
              </w:rPr>
            </w:pPr>
            <w:r>
              <w:rPr>
                <w:rFonts w:hint="eastAsia" w:ascii="宋体" w:hAnsi="宋体"/>
                <w:b/>
                <w:sz w:val="21"/>
                <w:szCs w:val="21"/>
              </w:rPr>
              <w:t>序号</w:t>
            </w:r>
          </w:p>
        </w:tc>
        <w:tc>
          <w:tcPr>
            <w:tcW w:w="1020" w:type="dxa"/>
            <w:noWrap w:val="0"/>
            <w:vAlign w:val="center"/>
          </w:tcPr>
          <w:p>
            <w:pPr>
              <w:autoSpaceDE w:val="0"/>
              <w:autoSpaceDN w:val="0"/>
              <w:jc w:val="center"/>
              <w:rPr>
                <w:rFonts w:ascii="宋体" w:hAnsi="宋体"/>
                <w:b/>
                <w:sz w:val="21"/>
                <w:szCs w:val="21"/>
              </w:rPr>
            </w:pPr>
            <w:r>
              <w:rPr>
                <w:rFonts w:ascii="宋体" w:hAnsi="宋体"/>
                <w:b/>
                <w:sz w:val="21"/>
                <w:szCs w:val="21"/>
              </w:rPr>
              <w:t>产品名称</w:t>
            </w:r>
          </w:p>
        </w:tc>
        <w:tc>
          <w:tcPr>
            <w:tcW w:w="996" w:type="dxa"/>
            <w:noWrap w:val="0"/>
            <w:vAlign w:val="center"/>
          </w:tcPr>
          <w:p>
            <w:pPr>
              <w:autoSpaceDE w:val="0"/>
              <w:autoSpaceDN w:val="0"/>
              <w:jc w:val="center"/>
              <w:rPr>
                <w:rFonts w:hint="default" w:ascii="宋体" w:hAnsi="宋体" w:eastAsia="宋体"/>
                <w:b/>
                <w:sz w:val="21"/>
                <w:szCs w:val="21"/>
                <w:lang w:val="en-US" w:eastAsia="zh-CN"/>
              </w:rPr>
            </w:pPr>
            <w:r>
              <w:rPr>
                <w:rFonts w:hint="eastAsia" w:ascii="宋体" w:hAnsi="宋体"/>
                <w:b/>
                <w:sz w:val="21"/>
                <w:szCs w:val="21"/>
              </w:rPr>
              <w:t>预算单价（元）</w:t>
            </w:r>
          </w:p>
        </w:tc>
        <w:tc>
          <w:tcPr>
            <w:tcW w:w="808" w:type="dxa"/>
            <w:noWrap w:val="0"/>
            <w:vAlign w:val="center"/>
          </w:tcPr>
          <w:p>
            <w:pPr>
              <w:autoSpaceDE w:val="0"/>
              <w:autoSpaceDN w:val="0"/>
              <w:jc w:val="center"/>
              <w:rPr>
                <w:rFonts w:ascii="宋体" w:hAnsi="宋体"/>
                <w:b/>
                <w:sz w:val="21"/>
                <w:szCs w:val="21"/>
              </w:rPr>
            </w:pPr>
            <w:r>
              <w:rPr>
                <w:rFonts w:hint="eastAsia" w:ascii="宋体" w:hAnsi="宋体"/>
                <w:b/>
                <w:sz w:val="21"/>
                <w:szCs w:val="21"/>
              </w:rPr>
              <w:t>预估年度</w:t>
            </w:r>
          </w:p>
          <w:p>
            <w:pPr>
              <w:autoSpaceDE w:val="0"/>
              <w:autoSpaceDN w:val="0"/>
              <w:jc w:val="center"/>
              <w:rPr>
                <w:rFonts w:ascii="宋体" w:hAnsi="宋体"/>
                <w:b/>
                <w:sz w:val="21"/>
                <w:szCs w:val="21"/>
              </w:rPr>
            </w:pPr>
            <w:r>
              <w:rPr>
                <w:rFonts w:hint="eastAsia" w:ascii="宋体" w:hAnsi="宋体"/>
                <w:b/>
                <w:sz w:val="21"/>
                <w:szCs w:val="21"/>
              </w:rPr>
              <w:t>用量</w:t>
            </w:r>
          </w:p>
        </w:tc>
        <w:tc>
          <w:tcPr>
            <w:tcW w:w="6069" w:type="dxa"/>
            <w:noWrap w:val="0"/>
            <w:vAlign w:val="center"/>
          </w:tcPr>
          <w:p>
            <w:pPr>
              <w:autoSpaceDE w:val="0"/>
              <w:autoSpaceDN w:val="0"/>
              <w:jc w:val="center"/>
              <w:rPr>
                <w:rFonts w:ascii="宋体" w:hAnsi="宋体"/>
                <w:b/>
                <w:sz w:val="21"/>
                <w:szCs w:val="21"/>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00" w:type="dxa"/>
            <w:noWrap w:val="0"/>
            <w:vAlign w:val="center"/>
          </w:tcPr>
          <w:p>
            <w:pPr>
              <w:autoSpaceDE w:val="0"/>
              <w:autoSpaceDN w:val="0"/>
              <w:jc w:val="center"/>
              <w:rPr>
                <w:rFonts w:ascii="宋体" w:hAnsi="宋体"/>
                <w:kern w:val="2"/>
                <w:sz w:val="24"/>
                <w:szCs w:val="24"/>
                <w:lang w:val="en-US" w:eastAsia="zh-CN" w:bidi="ar-SA"/>
              </w:rPr>
            </w:pPr>
            <w:r>
              <w:rPr>
                <w:rFonts w:hint="eastAsia" w:ascii="宋体" w:hAnsi="宋体"/>
                <w:sz w:val="24"/>
                <w:szCs w:val="28"/>
              </w:rPr>
              <w:t>1</w:t>
            </w:r>
          </w:p>
        </w:tc>
        <w:tc>
          <w:tcPr>
            <w:tcW w:w="1020"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sz w:val="24"/>
                <w:szCs w:val="32"/>
              </w:rPr>
              <w:t>一次性使用麻醉机呼吸管路</w:t>
            </w:r>
          </w:p>
        </w:tc>
        <w:tc>
          <w:tcPr>
            <w:tcW w:w="996"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8"/>
              </w:rPr>
              <w:t>50</w:t>
            </w:r>
          </w:p>
        </w:tc>
        <w:tc>
          <w:tcPr>
            <w:tcW w:w="808"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8"/>
              </w:rPr>
              <w:t>8000个</w:t>
            </w:r>
          </w:p>
        </w:tc>
        <w:tc>
          <w:tcPr>
            <w:tcW w:w="6069" w:type="dxa"/>
            <w:noWrap w:val="0"/>
            <w:vAlign w:val="top"/>
          </w:tcPr>
          <w:p>
            <w:pPr>
              <w:rPr>
                <w:rFonts w:hint="eastAsia"/>
                <w:sz w:val="24"/>
                <w:szCs w:val="28"/>
              </w:rPr>
            </w:pPr>
            <w:r>
              <w:rPr>
                <w:rFonts w:hint="eastAsia"/>
                <w:sz w:val="24"/>
                <w:szCs w:val="28"/>
              </w:rPr>
              <w:t>▲用途：适配于德尔格、GE、科曼等品牌各型号麻醉机。</w:t>
            </w:r>
          </w:p>
          <w:p>
            <w:pPr>
              <w:rPr>
                <w:rFonts w:hint="eastAsia"/>
                <w:sz w:val="24"/>
                <w:szCs w:val="28"/>
              </w:rPr>
            </w:pPr>
            <w:r>
              <w:rPr>
                <w:rFonts w:hint="eastAsia"/>
                <w:sz w:val="24"/>
                <w:szCs w:val="28"/>
              </w:rPr>
              <w:t>*</w:t>
            </w:r>
            <w:r>
              <w:rPr>
                <w:rFonts w:hint="eastAsia"/>
                <w:sz w:val="24"/>
                <w:szCs w:val="28"/>
                <w:lang w:val="en-US" w:eastAsia="zh-CN"/>
              </w:rPr>
              <w:t xml:space="preserve"> 1. 报价产品为</w:t>
            </w:r>
            <w:r>
              <w:rPr>
                <w:rFonts w:hint="eastAsia"/>
                <w:sz w:val="24"/>
                <w:szCs w:val="28"/>
              </w:rPr>
              <w:t>规格满足成人和儿童</w:t>
            </w:r>
            <w:r>
              <w:rPr>
                <w:rFonts w:hint="eastAsia"/>
                <w:sz w:val="24"/>
                <w:szCs w:val="28"/>
                <w:lang w:eastAsia="zh-CN"/>
              </w:rPr>
              <w:t>的</w:t>
            </w:r>
            <w:r>
              <w:rPr>
                <w:rFonts w:hint="eastAsia"/>
                <w:sz w:val="24"/>
                <w:szCs w:val="28"/>
                <w:lang w:val="en-US" w:eastAsia="zh-CN"/>
              </w:rPr>
              <w:t>双管路型</w:t>
            </w:r>
            <w:r>
              <w:rPr>
                <w:rFonts w:hint="eastAsia"/>
                <w:sz w:val="24"/>
                <w:szCs w:val="28"/>
              </w:rPr>
              <w:t>。</w:t>
            </w:r>
          </w:p>
          <w:p>
            <w:pPr>
              <w:numPr>
                <w:ilvl w:val="0"/>
                <w:numId w:val="1"/>
              </w:numPr>
              <w:rPr>
                <w:rFonts w:hint="eastAsia"/>
                <w:sz w:val="24"/>
                <w:szCs w:val="28"/>
              </w:rPr>
            </w:pPr>
            <w:r>
              <w:rPr>
                <w:rFonts w:hint="eastAsia"/>
                <w:sz w:val="24"/>
                <w:szCs w:val="28"/>
                <w:lang w:val="en-US" w:eastAsia="zh-CN"/>
              </w:rPr>
              <w:t>由Y型件、波纹管、接头等组成。</w:t>
            </w:r>
          </w:p>
          <w:p>
            <w:pPr>
              <w:rPr>
                <w:rFonts w:hint="eastAsia"/>
                <w:sz w:val="24"/>
                <w:szCs w:val="28"/>
              </w:rPr>
            </w:pPr>
            <w:r>
              <w:rPr>
                <w:rFonts w:hint="eastAsia"/>
                <w:sz w:val="24"/>
                <w:szCs w:val="28"/>
                <w:lang w:val="en-US" w:eastAsia="zh-CN"/>
              </w:rPr>
              <w:t xml:space="preserve">3. </w:t>
            </w:r>
            <w:r>
              <w:rPr>
                <w:rFonts w:hint="eastAsia"/>
                <w:sz w:val="24"/>
                <w:szCs w:val="28"/>
              </w:rPr>
              <w:t>回路管由医用级别PVC材料</w:t>
            </w:r>
            <w:r>
              <w:rPr>
                <w:rFonts w:hint="eastAsia"/>
                <w:sz w:val="24"/>
                <w:szCs w:val="28"/>
                <w:lang w:val="en-US" w:eastAsia="zh-CN"/>
              </w:rPr>
              <w:t>制成</w:t>
            </w:r>
            <w:r>
              <w:rPr>
                <w:rFonts w:hint="eastAsia"/>
                <w:sz w:val="24"/>
                <w:szCs w:val="28"/>
              </w:rPr>
              <w:t>，弹性好，抗塌陷能力强。</w:t>
            </w:r>
          </w:p>
          <w:p>
            <w:pPr>
              <w:rPr>
                <w:rFonts w:hint="eastAsia"/>
                <w:sz w:val="24"/>
                <w:szCs w:val="28"/>
              </w:rPr>
            </w:pPr>
            <w:r>
              <w:rPr>
                <w:rFonts w:hint="eastAsia"/>
                <w:sz w:val="24"/>
                <w:szCs w:val="28"/>
              </w:rPr>
              <w:t>*</w:t>
            </w:r>
            <w:r>
              <w:rPr>
                <w:rFonts w:hint="eastAsia"/>
                <w:sz w:val="24"/>
                <w:szCs w:val="28"/>
                <w:lang w:val="en-US" w:eastAsia="zh-CN"/>
              </w:rPr>
              <w:t xml:space="preserve"> 4. </w:t>
            </w:r>
            <w:r>
              <w:rPr>
                <w:rFonts w:hint="eastAsia"/>
                <w:sz w:val="24"/>
                <w:szCs w:val="28"/>
              </w:rPr>
              <w:t>有波纹管和伸缩管两种类型。</w:t>
            </w:r>
          </w:p>
          <w:p>
            <w:pPr>
              <w:numPr>
                <w:ilvl w:val="0"/>
                <w:numId w:val="2"/>
              </w:numPr>
              <w:rPr>
                <w:rFonts w:hint="eastAsia"/>
                <w:sz w:val="24"/>
                <w:szCs w:val="28"/>
              </w:rPr>
            </w:pPr>
            <w:r>
              <w:rPr>
                <w:rFonts w:hint="eastAsia"/>
                <w:sz w:val="24"/>
                <w:szCs w:val="28"/>
              </w:rPr>
              <w:t>波纹管路</w:t>
            </w:r>
            <w:r>
              <w:rPr>
                <w:rFonts w:hint="eastAsia"/>
                <w:sz w:val="24"/>
                <w:szCs w:val="28"/>
                <w:lang w:eastAsia="zh-CN"/>
              </w:rPr>
              <w:t>：</w:t>
            </w:r>
            <w:r>
              <w:rPr>
                <w:rFonts w:hint="eastAsia"/>
                <w:sz w:val="24"/>
                <w:szCs w:val="28"/>
              </w:rPr>
              <w:t>可以随意弯曲伸缩管，柔韧透明、抗扭曲，管身</w:t>
            </w:r>
            <w:r>
              <w:rPr>
                <w:rFonts w:hint="eastAsia"/>
                <w:sz w:val="24"/>
                <w:szCs w:val="28"/>
                <w:lang w:val="en-US" w:eastAsia="zh-CN"/>
              </w:rPr>
              <w:t>可以</w:t>
            </w:r>
            <w:r>
              <w:rPr>
                <w:rFonts w:hint="eastAsia"/>
                <w:sz w:val="24"/>
                <w:szCs w:val="28"/>
              </w:rPr>
              <w:t>根据麻醉机和人工气道间的短距离任意伸缩，节省空间</w:t>
            </w:r>
            <w:r>
              <w:rPr>
                <w:rFonts w:hint="eastAsia"/>
                <w:sz w:val="24"/>
                <w:szCs w:val="28"/>
                <w:lang w:eastAsia="zh-CN"/>
              </w:rPr>
              <w:t>。</w:t>
            </w:r>
          </w:p>
          <w:p>
            <w:pPr>
              <w:rPr>
                <w:rFonts w:hint="eastAsia"/>
                <w:sz w:val="24"/>
                <w:szCs w:val="28"/>
              </w:rPr>
            </w:pPr>
            <w:r>
              <w:rPr>
                <w:rFonts w:hint="eastAsia"/>
                <w:sz w:val="24"/>
                <w:szCs w:val="28"/>
                <w:lang w:val="en-US" w:eastAsia="zh-CN"/>
              </w:rPr>
              <w:t xml:space="preserve">6. </w:t>
            </w:r>
            <w:r>
              <w:rPr>
                <w:rFonts w:hint="eastAsia"/>
                <w:sz w:val="24"/>
                <w:szCs w:val="28"/>
              </w:rPr>
              <w:t>二氧化碳取样接头</w:t>
            </w:r>
            <w:r>
              <w:rPr>
                <w:rFonts w:hint="eastAsia"/>
                <w:sz w:val="24"/>
                <w:szCs w:val="28"/>
                <w:lang w:val="en-US" w:eastAsia="zh-CN"/>
              </w:rPr>
              <w:t>能</w:t>
            </w:r>
            <w:r>
              <w:rPr>
                <w:rFonts w:hint="eastAsia"/>
                <w:sz w:val="24"/>
                <w:szCs w:val="28"/>
              </w:rPr>
              <w:t>安全、便捷地监测呼气量</w:t>
            </w:r>
            <w:r>
              <w:rPr>
                <w:rFonts w:hint="eastAsia"/>
                <w:sz w:val="24"/>
                <w:szCs w:val="28"/>
                <w:lang w:eastAsia="zh-CN"/>
              </w:rPr>
              <w:t>。</w:t>
            </w:r>
          </w:p>
          <w:p>
            <w:pPr>
              <w:rPr>
                <w:rFonts w:hint="eastAsia"/>
                <w:sz w:val="24"/>
                <w:szCs w:val="28"/>
              </w:rPr>
            </w:pPr>
            <w:r>
              <w:rPr>
                <w:rFonts w:hint="eastAsia"/>
                <w:sz w:val="24"/>
                <w:szCs w:val="28"/>
              </w:rPr>
              <w:t>*</w:t>
            </w:r>
            <w:r>
              <w:rPr>
                <w:rFonts w:hint="eastAsia"/>
                <w:sz w:val="24"/>
                <w:szCs w:val="28"/>
                <w:lang w:val="en-US" w:eastAsia="zh-CN"/>
              </w:rPr>
              <w:t xml:space="preserve">7. </w:t>
            </w:r>
            <w:r>
              <w:rPr>
                <w:rFonts w:hint="eastAsia"/>
                <w:sz w:val="24"/>
                <w:szCs w:val="28"/>
              </w:rPr>
              <w:t>呼吸管路</w:t>
            </w:r>
            <w:r>
              <w:rPr>
                <w:rFonts w:hint="eastAsia"/>
                <w:sz w:val="24"/>
                <w:szCs w:val="28"/>
                <w:lang w:eastAsia="zh-CN"/>
              </w:rPr>
              <w:t>：</w:t>
            </w:r>
            <w:r>
              <w:rPr>
                <w:rFonts w:hint="eastAsia"/>
                <w:sz w:val="24"/>
                <w:szCs w:val="28"/>
              </w:rPr>
              <w:t>成人≥1.8m，儿童≥1.5m</w:t>
            </w:r>
            <w:r>
              <w:rPr>
                <w:rFonts w:hint="eastAsia"/>
                <w:sz w:val="24"/>
                <w:szCs w:val="28"/>
                <w:lang w:eastAsia="zh-CN"/>
              </w:rPr>
              <w:t>。</w:t>
            </w:r>
          </w:p>
          <w:p>
            <w:pPr>
              <w:rPr>
                <w:rFonts w:hint="eastAsia"/>
                <w:sz w:val="24"/>
                <w:szCs w:val="28"/>
              </w:rPr>
            </w:pPr>
            <w:r>
              <w:rPr>
                <w:rFonts w:hint="eastAsia"/>
                <w:sz w:val="24"/>
                <w:szCs w:val="28"/>
                <w:lang w:val="en-US" w:eastAsia="zh-CN"/>
              </w:rPr>
              <w:t xml:space="preserve">8. </w:t>
            </w:r>
            <w:r>
              <w:rPr>
                <w:rFonts w:hint="eastAsia"/>
                <w:sz w:val="24"/>
                <w:szCs w:val="28"/>
              </w:rPr>
              <w:t>呼吸气囊</w:t>
            </w:r>
            <w:r>
              <w:rPr>
                <w:rFonts w:hint="eastAsia"/>
                <w:sz w:val="24"/>
                <w:szCs w:val="28"/>
                <w:lang w:eastAsia="zh-CN"/>
              </w:rPr>
              <w:t>：</w:t>
            </w:r>
            <w:r>
              <w:rPr>
                <w:rFonts w:hint="eastAsia"/>
                <w:sz w:val="24"/>
                <w:szCs w:val="28"/>
              </w:rPr>
              <w:t>成人≥3L</w:t>
            </w:r>
            <w:r>
              <w:rPr>
                <w:rFonts w:hint="eastAsia"/>
                <w:sz w:val="24"/>
                <w:szCs w:val="28"/>
                <w:lang w:eastAsia="zh-CN"/>
              </w:rPr>
              <w:t>，</w:t>
            </w:r>
            <w:r>
              <w:rPr>
                <w:rFonts w:hint="eastAsia"/>
                <w:sz w:val="24"/>
                <w:szCs w:val="28"/>
              </w:rPr>
              <w:t>儿童≥1L</w:t>
            </w:r>
            <w:r>
              <w:rPr>
                <w:rFonts w:hint="eastAsia"/>
                <w:sz w:val="24"/>
                <w:szCs w:val="28"/>
                <w:lang w:eastAsia="zh-CN"/>
              </w:rPr>
              <w:t>。</w:t>
            </w:r>
          </w:p>
          <w:p>
            <w:pPr>
              <w:rPr>
                <w:rFonts w:hint="eastAsia"/>
                <w:sz w:val="24"/>
                <w:szCs w:val="28"/>
              </w:rPr>
            </w:pPr>
            <w:r>
              <w:rPr>
                <w:rFonts w:hint="eastAsia"/>
                <w:sz w:val="24"/>
                <w:szCs w:val="28"/>
                <w:lang w:val="en-US" w:eastAsia="zh-CN"/>
              </w:rPr>
              <w:t xml:space="preserve">9. </w:t>
            </w:r>
            <w:r>
              <w:rPr>
                <w:rFonts w:hint="eastAsia"/>
                <w:sz w:val="24"/>
                <w:szCs w:val="28"/>
              </w:rPr>
              <w:t>呼吸气囊材料不含DEHP。</w:t>
            </w:r>
          </w:p>
          <w:p>
            <w:pPr>
              <w:pStyle w:val="2"/>
              <w:numPr>
                <w:ilvl w:val="0"/>
                <w:numId w:val="0"/>
              </w:numPr>
              <w:ind w:left="0" w:leftChars="0" w:firstLine="0" w:firstLineChars="0"/>
              <w:rPr>
                <w:rFonts w:hint="default"/>
                <w:sz w:val="24"/>
                <w:szCs w:val="28"/>
                <w:lang w:val="en-US" w:eastAsia="zh-CN"/>
              </w:rPr>
            </w:pPr>
            <w:r>
              <w:rPr>
                <w:rFonts w:hint="eastAsia"/>
                <w:spacing w:val="8"/>
                <w:sz w:val="24"/>
                <w:szCs w:val="28"/>
                <w:lang w:val="en-US" w:eastAsia="zh-CN"/>
              </w:rPr>
              <w:t xml:space="preserve">10. </w:t>
            </w:r>
            <w:r>
              <w:rPr>
                <w:spacing w:val="8"/>
                <w:sz w:val="24"/>
                <w:szCs w:val="28"/>
              </w:rPr>
              <w:t>环氧乙烷灭菌</w:t>
            </w:r>
            <w:r>
              <w:rPr>
                <w:rFonts w:hint="eastAsia"/>
                <w:spacing w:val="8"/>
                <w:sz w:val="24"/>
                <w:szCs w:val="28"/>
                <w:lang w:eastAsia="zh-CN"/>
              </w:rPr>
              <w:t>，</w:t>
            </w:r>
            <w:r>
              <w:rPr>
                <w:rFonts w:hint="eastAsia"/>
                <w:spacing w:val="8"/>
                <w:sz w:val="24"/>
                <w:szCs w:val="28"/>
                <w:lang w:val="en-US" w:eastAsia="zh-CN"/>
              </w:rPr>
              <w:t>一次性使用。</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pPr>
      <w:r>
        <w:rPr>
          <w:rFonts w:hint="eastAsia"/>
        </w:rPr>
        <w:t>▲1.供应商投标产品若为Ⅱ、Ⅲ类医疗器械和具有医疗器械注册证或备案凭证的体外诊断试剂，则必须为四川省药械集中采购及医药价格监管平台挂网公示产品,并提供挂网商品代码（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p>
    <w:p>
      <w:pPr>
        <w:pStyle w:val="2"/>
      </w:pPr>
      <w:r>
        <w:rPr>
          <w:rFonts w:hint="eastAsia"/>
        </w:rPr>
        <w:t>▲2.供货期限：3年，采购数量以实际使用量为准。</w:t>
      </w:r>
    </w:p>
    <w:p>
      <w:pPr>
        <w:widowControl/>
        <w:shd w:val="clear"/>
        <w:spacing w:line="360" w:lineRule="auto"/>
        <w:jc w:val="left"/>
        <w:rPr>
          <w:rFonts w:hint="eastAsia" w:ascii="宋体" w:hAnsi="宋体" w:eastAsia="宋体" w:cs="Segoe UI"/>
          <w:b/>
          <w:bCs/>
          <w:kern w:val="0"/>
          <w:sz w:val="28"/>
          <w:szCs w:val="28"/>
        </w:rPr>
      </w:pPr>
      <w:r>
        <w:rPr>
          <w:rFonts w:hint="eastAsia"/>
        </w:rPr>
        <w:t>▲3.合同结算：本项目的“预估年度用量”、 供应商的“投标总价”仅做为报价评审依据，最终根据实际需求进行相应调整，结算以实际发生量乘以供应商挂网单价（未挂网按投标单价）结算。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48"/>
        <w:gridCol w:w="649"/>
        <w:gridCol w:w="3683"/>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9"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695" w:type="pct"/>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34"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1899"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741"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2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695"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34"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899"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1741" w:type="pct"/>
            <w:vAlign w:val="center"/>
          </w:tcPr>
          <w:p>
            <w:pPr>
              <w:widowControl/>
              <w:numPr>
                <w:ilvl w:val="0"/>
                <w:numId w:val="3"/>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3"/>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2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695"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42</w:t>
            </w:r>
            <w:r>
              <w:rPr>
                <w:rFonts w:hint="eastAsia" w:ascii="宋体" w:hAnsi="宋体" w:cs="Segoe UI"/>
                <w:color w:val="000000"/>
                <w:kern w:val="0"/>
                <w:sz w:val="18"/>
                <w:szCs w:val="18"/>
              </w:rPr>
              <w:t>%</w:t>
            </w:r>
          </w:p>
        </w:tc>
        <w:tc>
          <w:tcPr>
            <w:tcW w:w="334"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42</w:t>
            </w:r>
          </w:p>
        </w:tc>
        <w:tc>
          <w:tcPr>
            <w:tcW w:w="1899"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投标人提供的试剂耗材的技术参数完全符合招标文件要求，没有负偏离得满分</w:t>
            </w:r>
            <w:r>
              <w:rPr>
                <w:rFonts w:hint="eastAsia" w:ascii="宋体" w:hAnsi="宋体" w:cs="宋体"/>
                <w:kern w:val="0"/>
                <w:sz w:val="18"/>
                <w:szCs w:val="18"/>
                <w:lang w:val="en-US" w:eastAsia="zh-CN"/>
              </w:rPr>
              <w:t>42分</w:t>
            </w:r>
            <w:r>
              <w:rPr>
                <w:rFonts w:hint="eastAsia" w:ascii="宋体" w:hAnsi="宋体" w:cs="宋体"/>
                <w:kern w:val="0"/>
                <w:sz w:val="18"/>
                <w:szCs w:val="18"/>
              </w:rPr>
              <w:t>；</w:t>
            </w:r>
            <w:r>
              <w:rPr>
                <w:rFonts w:hint="eastAsia" w:ascii="宋体" w:hAnsi="宋体" w:cs="宋体"/>
                <w:color w:val="auto"/>
                <w:kern w:val="0"/>
                <w:sz w:val="18"/>
                <w:szCs w:val="18"/>
              </w:rPr>
              <w:t>“*”条款技术参数不满足招标文件要求（负偏离），</w:t>
            </w:r>
            <w:r>
              <w:rPr>
                <w:rFonts w:hint="eastAsia" w:ascii="宋体" w:hAnsi="宋体" w:cs="宋体"/>
                <w:kern w:val="0"/>
                <w:sz w:val="18"/>
                <w:szCs w:val="18"/>
              </w:rPr>
              <w:t>一次扣</w:t>
            </w:r>
            <w:r>
              <w:rPr>
                <w:rFonts w:hint="eastAsia" w:ascii="宋体" w:hAnsi="宋体" w:cs="宋体"/>
                <w:kern w:val="0"/>
                <w:sz w:val="18"/>
                <w:szCs w:val="18"/>
                <w:lang w:val="en-US" w:eastAsia="zh-CN"/>
              </w:rPr>
              <w:t>7</w:t>
            </w:r>
            <w:r>
              <w:rPr>
                <w:rFonts w:hint="eastAsia" w:ascii="宋体" w:hAnsi="宋体" w:cs="宋体"/>
                <w:kern w:val="0"/>
                <w:sz w:val="18"/>
                <w:szCs w:val="18"/>
              </w:rPr>
              <w:t>分；非“*”条款技术参数不满足招标文件要求（负偏离），一次扣</w:t>
            </w:r>
            <w:r>
              <w:rPr>
                <w:rFonts w:hint="eastAsia" w:ascii="宋体" w:hAnsi="宋体" w:cs="宋体"/>
                <w:kern w:val="0"/>
                <w:sz w:val="18"/>
                <w:szCs w:val="18"/>
                <w:lang w:val="en-US" w:eastAsia="zh-CN"/>
              </w:rPr>
              <w:t>3</w:t>
            </w:r>
            <w:r>
              <w:rPr>
                <w:rFonts w:hint="eastAsia" w:ascii="宋体" w:hAnsi="宋体" w:cs="宋体"/>
                <w:kern w:val="0"/>
                <w:sz w:val="18"/>
                <w:szCs w:val="18"/>
              </w:rPr>
              <w:t>分；扣完为止。</w:t>
            </w:r>
          </w:p>
        </w:tc>
        <w:tc>
          <w:tcPr>
            <w:tcW w:w="1741" w:type="pct"/>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2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695"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1</w:t>
            </w:r>
            <w:r>
              <w:rPr>
                <w:rFonts w:hint="eastAsia" w:ascii="宋体" w:hAnsi="宋体" w:cs="Segoe UI"/>
                <w:color w:val="000000"/>
                <w:kern w:val="0"/>
                <w:sz w:val="18"/>
                <w:szCs w:val="18"/>
              </w:rPr>
              <w:t>%</w:t>
            </w:r>
          </w:p>
        </w:tc>
        <w:tc>
          <w:tcPr>
            <w:tcW w:w="334" w:type="pct"/>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1</w:t>
            </w:r>
          </w:p>
        </w:tc>
        <w:tc>
          <w:tcPr>
            <w:tcW w:w="1899" w:type="pct"/>
            <w:vAlign w:val="center"/>
          </w:tcPr>
          <w:p>
            <w:pPr>
              <w:wordWrap w:val="0"/>
              <w:spacing w:line="270" w:lineRule="atLeast"/>
              <w:jc w:val="left"/>
              <w:rPr>
                <w:rFonts w:ascii="宋体" w:hAnsi="宋体" w:cs="宋体"/>
                <w:kern w:val="0"/>
                <w:sz w:val="18"/>
                <w:szCs w:val="18"/>
              </w:rPr>
            </w:pPr>
            <w:r>
              <w:rPr>
                <w:rFonts w:hint="eastAsia" w:ascii="宋体" w:hAnsi="宋体" w:cs="宋体"/>
                <w:b/>
                <w:bCs/>
                <w:kern w:val="0"/>
                <w:sz w:val="18"/>
                <w:szCs w:val="18"/>
                <w:lang w:val="en-US" w:eastAsia="zh-CN"/>
              </w:rPr>
              <w:t>提供儿童型和成人型一次性使用麻醉机呼吸管路样品各1个。</w:t>
            </w:r>
            <w:r>
              <w:rPr>
                <w:rFonts w:hint="eastAsia" w:ascii="宋体" w:hAnsi="宋体" w:cs="宋体"/>
                <w:kern w:val="0"/>
                <w:sz w:val="18"/>
                <w:szCs w:val="18"/>
              </w:rPr>
              <w:t>根据响应产品样品及产品说明书，从样品的</w:t>
            </w:r>
            <w:r>
              <w:rPr>
                <w:rFonts w:hint="eastAsia" w:ascii="宋体" w:hAnsi="宋体" w:cs="宋体"/>
                <w:kern w:val="0"/>
                <w:sz w:val="18"/>
                <w:szCs w:val="18"/>
                <w:lang w:val="en-US" w:eastAsia="zh-CN"/>
              </w:rPr>
              <w:t>结构组成等</w:t>
            </w:r>
            <w:r>
              <w:rPr>
                <w:rFonts w:hint="eastAsia" w:ascii="宋体" w:hAnsi="宋体" w:cs="宋体"/>
                <w:kern w:val="0"/>
                <w:sz w:val="18"/>
                <w:szCs w:val="18"/>
              </w:rPr>
              <w:t>外观、材质、性能</w:t>
            </w:r>
            <w:r>
              <w:rPr>
                <w:rFonts w:hint="eastAsia" w:ascii="宋体" w:hAnsi="宋体" w:cs="宋体"/>
                <w:kern w:val="0"/>
                <w:sz w:val="18"/>
                <w:szCs w:val="18"/>
                <w:lang w:val="en-US" w:eastAsia="zh-CN"/>
              </w:rPr>
              <w:t>等</w:t>
            </w:r>
            <w:r>
              <w:rPr>
                <w:rFonts w:hint="eastAsia" w:ascii="宋体" w:hAnsi="宋体" w:cs="宋体"/>
                <w:kern w:val="0"/>
                <w:sz w:val="18"/>
                <w:szCs w:val="18"/>
              </w:rPr>
              <w:t>方面进行评价，每有1个方面不符合临床需求的扣4分，扣完为止。</w:t>
            </w:r>
          </w:p>
        </w:tc>
        <w:tc>
          <w:tcPr>
            <w:tcW w:w="1741" w:type="pct"/>
            <w:vAlign w:val="center"/>
          </w:tcPr>
          <w:p>
            <w:pPr>
              <w:numPr>
                <w:ilvl w:val="0"/>
                <w:numId w:val="4"/>
              </w:numPr>
              <w:wordWrap w:val="0"/>
              <w:spacing w:line="270" w:lineRule="atLeast"/>
              <w:jc w:val="left"/>
              <w:rPr>
                <w:rFonts w:hint="eastAsia" w:ascii="宋体" w:hAnsi="宋体" w:cs="宋体"/>
                <w:kern w:val="0"/>
                <w:sz w:val="18"/>
                <w:szCs w:val="18"/>
              </w:rPr>
            </w:pPr>
            <w:r>
              <w:rPr>
                <w:rFonts w:hint="eastAsia" w:ascii="宋体" w:hAnsi="宋体" w:cs="宋体"/>
                <w:kern w:val="0"/>
                <w:sz w:val="18"/>
                <w:szCs w:val="18"/>
              </w:rPr>
              <w:t>未提供或提供不全本项不得分。</w:t>
            </w:r>
          </w:p>
          <w:p>
            <w:pPr>
              <w:numPr>
                <w:ilvl w:val="0"/>
                <w:numId w:val="4"/>
              </w:numPr>
              <w:wordWrap w:val="0"/>
              <w:spacing w:line="270" w:lineRule="atLeast"/>
              <w:jc w:val="left"/>
              <w:rPr>
                <w:rFonts w:ascii="宋体" w:hAnsi="宋体" w:cs="宋体"/>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4</w:t>
            </w:r>
          </w:p>
        </w:tc>
        <w:tc>
          <w:tcPr>
            <w:tcW w:w="695"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lang w:val="en-US" w:eastAsia="zh-CN"/>
              </w:rPr>
              <w:t>8</w:t>
            </w:r>
            <w:r>
              <w:rPr>
                <w:rFonts w:hint="eastAsia" w:ascii="宋体" w:hAnsi="宋体" w:cs="Segoe UI"/>
                <w:color w:val="000000"/>
                <w:kern w:val="0"/>
                <w:sz w:val="18"/>
                <w:szCs w:val="18"/>
              </w:rPr>
              <w:t>%</w:t>
            </w:r>
          </w:p>
        </w:tc>
        <w:tc>
          <w:tcPr>
            <w:tcW w:w="334" w:type="pct"/>
            <w:vAlign w:val="center"/>
          </w:tcPr>
          <w:p>
            <w:pPr>
              <w:widowControl/>
              <w:wordWrap w:val="0"/>
              <w:spacing w:line="270" w:lineRule="atLeast"/>
              <w:jc w:val="center"/>
              <w:rPr>
                <w:rFonts w:hint="eastAsia" w:ascii="宋体" w:hAnsi="宋体" w:eastAsia="宋体" w:cs="Segoe UI"/>
                <w:color w:val="333333"/>
                <w:kern w:val="0"/>
                <w:sz w:val="18"/>
                <w:szCs w:val="18"/>
                <w:lang w:eastAsia="zh-CN"/>
              </w:rPr>
            </w:pPr>
            <w:r>
              <w:rPr>
                <w:rFonts w:hint="eastAsia" w:ascii="宋体" w:hAnsi="宋体" w:cs="Segoe UI"/>
                <w:color w:val="333333"/>
                <w:kern w:val="0"/>
                <w:sz w:val="18"/>
                <w:szCs w:val="18"/>
                <w:lang w:val="en-US" w:eastAsia="zh-CN"/>
              </w:rPr>
              <w:t>8</w:t>
            </w:r>
          </w:p>
        </w:tc>
        <w:tc>
          <w:tcPr>
            <w:tcW w:w="1899" w:type="pct"/>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2021年以来在国内三甲医疗机构销售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174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2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5</w:t>
            </w:r>
          </w:p>
        </w:tc>
        <w:tc>
          <w:tcPr>
            <w:tcW w:w="695"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9%</w:t>
            </w:r>
          </w:p>
        </w:tc>
        <w:tc>
          <w:tcPr>
            <w:tcW w:w="334" w:type="pct"/>
            <w:vAlign w:val="center"/>
          </w:tcPr>
          <w:p>
            <w:pPr>
              <w:widowControl/>
              <w:spacing w:line="320" w:lineRule="atLeast"/>
              <w:ind w:left="-105" w:right="-107"/>
              <w:jc w:val="center"/>
              <w:rPr>
                <w:rFonts w:ascii="宋体" w:hAnsi="宋体" w:cs="Segoe UI"/>
                <w:color w:val="333333"/>
                <w:kern w:val="0"/>
                <w:sz w:val="18"/>
                <w:szCs w:val="18"/>
              </w:rPr>
            </w:pPr>
            <w:r>
              <w:rPr>
                <w:rFonts w:hint="eastAsia" w:ascii="宋体" w:hAnsi="宋体" w:cs="Segoe UI"/>
                <w:color w:val="333333"/>
                <w:kern w:val="0"/>
                <w:sz w:val="18"/>
                <w:szCs w:val="18"/>
              </w:rPr>
              <w:t>9</w:t>
            </w:r>
          </w:p>
        </w:tc>
        <w:tc>
          <w:tcPr>
            <w:tcW w:w="1899" w:type="pct"/>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9分。每缺少一项或提供的方案与本项目无关的扣3分；每有一项存在缺陷或漏洞的，且不利于项目实施的扣1.5分，分值扣完为止。</w:t>
            </w:r>
          </w:p>
        </w:tc>
        <w:tc>
          <w:tcPr>
            <w:tcW w:w="1741" w:type="pct"/>
            <w:vAlign w:val="center"/>
          </w:tcPr>
          <w:p>
            <w:pPr>
              <w:wordWrap w:val="0"/>
              <w:jc w:val="left"/>
              <w:rPr>
                <w:rFonts w:ascii="宋体" w:hAnsi="宋体" w:cs="Segoe UI"/>
                <w:color w:val="000000"/>
                <w:kern w:val="0"/>
                <w:sz w:val="18"/>
                <w:szCs w:val="18"/>
              </w:rPr>
            </w:pP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15614"/>
      <w:bookmarkStart w:id="4" w:name="_Toc21163"/>
      <w:bookmarkStart w:id="5" w:name="_Toc21676"/>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12490"/>
      <w:bookmarkStart w:id="9" w:name="_Toc60"/>
      <w:bookmarkStart w:id="10" w:name="_Toc10689"/>
      <w:bookmarkStart w:id="11" w:name="_Toc30275"/>
      <w:bookmarkStart w:id="12" w:name="_Toc30494"/>
      <w:bookmarkStart w:id="13" w:name="_Toc14802"/>
      <w:bookmarkStart w:id="14" w:name="_Toc11076"/>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912"/>
      <w:bookmarkStart w:id="17" w:name="_Toc7067"/>
      <w:bookmarkStart w:id="18" w:name="_Toc26481"/>
      <w:bookmarkStart w:id="19" w:name="_Toc28103"/>
      <w:bookmarkStart w:id="20" w:name="_Toc9131"/>
      <w:bookmarkStart w:id="21" w:name="_Toc3081"/>
      <w:bookmarkStart w:id="22" w:name="_Toc13021"/>
      <w:bookmarkStart w:id="23" w:name="_Toc30724"/>
      <w:bookmarkStart w:id="24" w:name="_Toc10183"/>
      <w:bookmarkStart w:id="25" w:name="_Toc10948"/>
      <w:bookmarkStart w:id="26" w:name="_Toc32214"/>
      <w:bookmarkStart w:id="27" w:name="_Toc3392"/>
      <w:bookmarkStart w:id="28" w:name="_Toc18513"/>
      <w:bookmarkStart w:id="29" w:name="_Toc3447"/>
      <w:bookmarkStart w:id="30" w:name="_Toc19115"/>
      <w:bookmarkStart w:id="31" w:name="_Toc30080"/>
      <w:bookmarkStart w:id="32" w:name="_Toc8717"/>
      <w:bookmarkStart w:id="33" w:name="_Toc18879"/>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7249"/>
      <w:bookmarkStart w:id="36" w:name="_Toc30920"/>
      <w:bookmarkStart w:id="37" w:name="_Toc9042"/>
      <w:bookmarkStart w:id="38" w:name="_Toc18259"/>
      <w:bookmarkStart w:id="39" w:name="_Toc30649"/>
      <w:bookmarkStart w:id="40" w:name="_Toc10142"/>
      <w:bookmarkStart w:id="41" w:name="_Toc22795"/>
      <w:bookmarkStart w:id="42" w:name="_Toc2364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4775"/>
      <w:bookmarkStart w:id="47" w:name="_Toc30083"/>
      <w:bookmarkStart w:id="48" w:name="_Toc19600"/>
      <w:bookmarkStart w:id="49" w:name="_Toc21988"/>
      <w:bookmarkStart w:id="50" w:name="_Toc24117"/>
      <w:bookmarkStart w:id="51" w:name="_Toc3004"/>
      <w:bookmarkStart w:id="52" w:name="_Toc25516"/>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6666"/>
      <w:bookmarkStart w:id="56" w:name="_Toc3494"/>
      <w:bookmarkStart w:id="57" w:name="_Toc14887"/>
      <w:bookmarkStart w:id="58" w:name="_Toc23192"/>
      <w:bookmarkStart w:id="59" w:name="_Toc16764"/>
      <w:bookmarkStart w:id="60" w:name="_Toc22198"/>
      <w:bookmarkStart w:id="61" w:name="_Toc27376"/>
      <w:bookmarkStart w:id="62" w:name="_Toc691"/>
      <w:bookmarkStart w:id="63" w:name="_Toc12333"/>
      <w:bookmarkStart w:id="64" w:name="_Toc321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22606"/>
      <w:bookmarkStart w:id="66" w:name="_Toc9263"/>
      <w:bookmarkStart w:id="67" w:name="_Toc5412"/>
      <w:bookmarkStart w:id="68" w:name="_Toc10013"/>
      <w:bookmarkStart w:id="69" w:name="_Toc1371"/>
      <w:bookmarkStart w:id="70" w:name="_Toc25068"/>
      <w:bookmarkStart w:id="71" w:name="_Toc31581"/>
      <w:bookmarkStart w:id="72" w:name="_Toc11914"/>
      <w:bookmarkStart w:id="73" w:name="_Toc4577"/>
      <w:bookmarkStart w:id="74" w:name="_Toc14269"/>
      <w:bookmarkStart w:id="75" w:name="_Toc394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9190"/>
      <w:bookmarkStart w:id="78" w:name="_Toc2316"/>
      <w:bookmarkStart w:id="79" w:name="_Toc11489"/>
      <w:bookmarkStart w:id="80" w:name="_Toc2937"/>
      <w:bookmarkStart w:id="81" w:name="_Toc31890"/>
      <w:bookmarkStart w:id="82" w:name="_Toc10600"/>
      <w:bookmarkStart w:id="83" w:name="_Toc17108"/>
      <w:bookmarkStart w:id="84" w:name="_Toc3908"/>
      <w:bookmarkStart w:id="85" w:name="_Toc13677"/>
      <w:bookmarkStart w:id="86" w:name="_Toc1326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21351"/>
      <w:bookmarkStart w:id="89" w:name="_Toc31638"/>
      <w:bookmarkStart w:id="90" w:name="_Toc15916"/>
      <w:bookmarkStart w:id="91" w:name="_Toc24122"/>
      <w:bookmarkStart w:id="92" w:name="_Toc1313"/>
      <w:bookmarkStart w:id="93" w:name="_Toc26756"/>
      <w:bookmarkStart w:id="94" w:name="_Toc32365"/>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48"/>
      <w:bookmarkStart w:id="98" w:name="_Toc22760"/>
      <w:bookmarkStart w:id="99" w:name="_Toc10583"/>
      <w:bookmarkStart w:id="100" w:name="_Toc15083"/>
      <w:bookmarkStart w:id="101" w:name="_Toc9398"/>
      <w:bookmarkStart w:id="102" w:name="_Toc23212"/>
      <w:bookmarkStart w:id="103" w:name="_Toc29215"/>
      <w:bookmarkStart w:id="104" w:name="_Toc19589"/>
      <w:bookmarkStart w:id="105" w:name="_Toc11278"/>
      <w:bookmarkStart w:id="106" w:name="_Toc27985"/>
      <w:bookmarkStart w:id="107" w:name="_Toc18046"/>
      <w:bookmarkStart w:id="108" w:name="_Toc15894"/>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107"/>
      <w:bookmarkStart w:id="111" w:name="_Toc24655"/>
      <w:bookmarkStart w:id="112" w:name="_Toc14546"/>
      <w:bookmarkStart w:id="113" w:name="_Toc4116"/>
      <w:bookmarkStart w:id="114" w:name="_Toc17204"/>
      <w:bookmarkStart w:id="115" w:name="_Toc8348"/>
      <w:bookmarkStart w:id="116" w:name="_Toc8940"/>
      <w:bookmarkStart w:id="117" w:name="_Toc27767"/>
      <w:bookmarkStart w:id="118" w:name="_Toc24671"/>
      <w:bookmarkStart w:id="119" w:name="_Toc29648"/>
      <w:bookmarkStart w:id="120" w:name="_Toc757"/>
      <w:bookmarkStart w:id="121" w:name="_Toc8083"/>
      <w:bookmarkStart w:id="122" w:name="_Toc1774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4781"/>
      <w:bookmarkStart w:id="124" w:name="_Toc2003"/>
      <w:bookmarkStart w:id="125" w:name="_Toc10308"/>
      <w:bookmarkStart w:id="126" w:name="_Toc10950"/>
      <w:bookmarkStart w:id="127" w:name="_Toc15917"/>
      <w:bookmarkStart w:id="128" w:name="_Toc10945"/>
      <w:bookmarkStart w:id="129" w:name="_Toc8524"/>
      <w:bookmarkStart w:id="130" w:name="_Toc5840"/>
      <w:bookmarkStart w:id="131" w:name="_Toc22243"/>
      <w:bookmarkStart w:id="132" w:name="_Toc24280"/>
      <w:bookmarkStart w:id="133" w:name="_Toc20745"/>
      <w:bookmarkStart w:id="134" w:name="_Toc12682"/>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0B163B50"/>
    <w:multiLevelType w:val="singleLevel"/>
    <w:tmpl w:val="0B163B50"/>
    <w:lvl w:ilvl="0" w:tentative="0">
      <w:start w:val="2"/>
      <w:numFmt w:val="decimal"/>
      <w:suff w:val="space"/>
      <w:lvlText w:val="%1."/>
      <w:lvlJc w:val="left"/>
    </w:lvl>
  </w:abstractNum>
  <w:abstractNum w:abstractNumId="2">
    <w:nsid w:val="402108CE"/>
    <w:multiLevelType w:val="singleLevel"/>
    <w:tmpl w:val="402108CE"/>
    <w:lvl w:ilvl="0" w:tentative="0">
      <w:start w:val="5"/>
      <w:numFmt w:val="decimal"/>
      <w:suff w:val="space"/>
      <w:lvlText w:val="%1."/>
      <w:lvlJc w:val="left"/>
    </w:lvl>
  </w:abstractNum>
  <w:abstractNum w:abstractNumId="3">
    <w:nsid w:val="5AC89F49"/>
    <w:multiLevelType w:val="singleLevel"/>
    <w:tmpl w:val="5AC89F49"/>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DBB7E7D"/>
    <w:rsid w:val="0E911C5D"/>
    <w:rsid w:val="10954EC2"/>
    <w:rsid w:val="12A81059"/>
    <w:rsid w:val="13485B4A"/>
    <w:rsid w:val="14456F80"/>
    <w:rsid w:val="195D2073"/>
    <w:rsid w:val="1A37043E"/>
    <w:rsid w:val="228C2840"/>
    <w:rsid w:val="2306229A"/>
    <w:rsid w:val="26D9225C"/>
    <w:rsid w:val="272816FC"/>
    <w:rsid w:val="28203DA9"/>
    <w:rsid w:val="2E811DD5"/>
    <w:rsid w:val="357C4381"/>
    <w:rsid w:val="364F4E7F"/>
    <w:rsid w:val="365344A5"/>
    <w:rsid w:val="38BB478A"/>
    <w:rsid w:val="396510AC"/>
    <w:rsid w:val="3BA27AC6"/>
    <w:rsid w:val="3ED3727D"/>
    <w:rsid w:val="405F3E1B"/>
    <w:rsid w:val="41EE0E8D"/>
    <w:rsid w:val="4669398D"/>
    <w:rsid w:val="48983A5D"/>
    <w:rsid w:val="4AE36A9A"/>
    <w:rsid w:val="4B7A520A"/>
    <w:rsid w:val="4C5E41EC"/>
    <w:rsid w:val="4EE10A0C"/>
    <w:rsid w:val="51CB3FD0"/>
    <w:rsid w:val="53914C7E"/>
    <w:rsid w:val="5536063D"/>
    <w:rsid w:val="55F211D3"/>
    <w:rsid w:val="56183BA8"/>
    <w:rsid w:val="577B25E6"/>
    <w:rsid w:val="5C452678"/>
    <w:rsid w:val="5D2D064D"/>
    <w:rsid w:val="5FEC0FA4"/>
    <w:rsid w:val="60795DD8"/>
    <w:rsid w:val="61DB5EE7"/>
    <w:rsid w:val="62FA0171"/>
    <w:rsid w:val="637366D0"/>
    <w:rsid w:val="63E72E68"/>
    <w:rsid w:val="64ED5044"/>
    <w:rsid w:val="65C660EF"/>
    <w:rsid w:val="65DA011F"/>
    <w:rsid w:val="66D20681"/>
    <w:rsid w:val="672843F4"/>
    <w:rsid w:val="6A052BEC"/>
    <w:rsid w:val="6A1B1B87"/>
    <w:rsid w:val="6A38583D"/>
    <w:rsid w:val="6C0F1984"/>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2024-05-23T06:24:35Z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