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pacing w:before="0" w:after="0" w:line="360" w:lineRule="auto"/>
        <w:ind w:firstLine="118" w:firstLineChars="49"/>
        <w:jc w:val="left"/>
        <w:rPr>
          <w:rFonts w:ascii="宋体" w:hAnsi="宋体" w:eastAsia="宋体" w:cs="仿宋"/>
          <w:bCs w:val="0"/>
          <w:sz w:val="24"/>
          <w:szCs w:val="24"/>
        </w:rPr>
      </w:pPr>
      <w:bookmarkStart w:id="0" w:name="_Toc217446094"/>
    </w:p>
    <w:p>
      <w:pPr>
        <w:pStyle w:val="3"/>
        <w:keepNext w:val="0"/>
        <w:keepLines w:val="0"/>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w:t>
      </w:r>
    </w:p>
    <w:p>
      <w:pPr>
        <w:pStyle w:val="3"/>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rPr>
        <w:t>一、采购项目编号：SCFY-YXZB202312-003（询）</w:t>
      </w:r>
    </w:p>
    <w:p>
      <w:pPr>
        <w:pStyle w:val="3"/>
        <w:spacing w:after="0" w:line="360" w:lineRule="auto"/>
        <w:ind w:firstLine="236" w:firstLineChars="98"/>
        <w:rPr>
          <w:rFonts w:ascii="宋体" w:hAnsi="宋体" w:eastAsia="宋体" w:cs="仿宋"/>
          <w:sz w:val="24"/>
          <w:szCs w:val="24"/>
        </w:rPr>
      </w:pPr>
      <w:r>
        <w:rPr>
          <w:rFonts w:hint="eastAsia" w:ascii="宋体" w:hAnsi="宋体" w:eastAsia="宋体" w:cs="仿宋"/>
          <w:sz w:val="24"/>
          <w:szCs w:val="24"/>
        </w:rPr>
        <w:t>二、年度采购预算：</w:t>
      </w:r>
      <w:r>
        <w:rPr>
          <w:rFonts w:hint="eastAsia" w:ascii="宋体" w:hAnsi="宋体" w:eastAsia="宋体" w:cs="仿宋"/>
          <w:sz w:val="24"/>
          <w:szCs w:val="24"/>
          <w:lang w:val="en-US" w:eastAsia="zh-CN"/>
        </w:rPr>
        <w:t>0.1125</w:t>
      </w:r>
      <w:r>
        <w:rPr>
          <w:rFonts w:hint="eastAsia" w:ascii="宋体" w:hAnsi="宋体" w:eastAsia="宋体" w:cs="仿宋"/>
          <w:sz w:val="24"/>
          <w:szCs w:val="24"/>
        </w:rPr>
        <w:t>万元/年</w:t>
      </w:r>
    </w:p>
    <w:p>
      <w:pPr>
        <w:pStyle w:val="3"/>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rPr>
        <w:t xml:space="preserve">三、 </w:t>
      </w:r>
      <w:bookmarkEnd w:id="0"/>
      <w:bookmarkStart w:id="1" w:name="_Toc217446095"/>
      <w:r>
        <w:rPr>
          <w:rFonts w:hint="eastAsia" w:ascii="宋体" w:hAnsi="宋体" w:eastAsia="宋体" w:cs="仿宋"/>
          <w:sz w:val="24"/>
          <w:szCs w:val="24"/>
        </w:rPr>
        <w:t>项目清单及技术</w:t>
      </w:r>
      <w:r>
        <w:rPr>
          <w:rFonts w:hint="eastAsia" w:ascii="宋体" w:hAnsi="宋体" w:eastAsia="宋体" w:cs="仿宋"/>
          <w:sz w:val="24"/>
          <w:szCs w:val="24"/>
          <w:lang w:eastAsia="zh-CN"/>
        </w:rPr>
        <w:t>、</w:t>
      </w:r>
      <w:r>
        <w:rPr>
          <w:rFonts w:hint="eastAsia" w:ascii="宋体" w:hAnsi="宋体" w:eastAsia="宋体" w:cs="仿宋"/>
          <w:sz w:val="24"/>
          <w:szCs w:val="24"/>
          <w:lang w:val="en-US" w:eastAsia="zh-CN"/>
        </w:rPr>
        <w:t>商务</w:t>
      </w:r>
      <w:r>
        <w:rPr>
          <w:rFonts w:hint="eastAsia" w:ascii="宋体" w:hAnsi="宋体" w:eastAsia="宋体" w:cs="仿宋"/>
          <w:sz w:val="24"/>
          <w:szCs w:val="24"/>
        </w:rPr>
        <w:t>要求：</w:t>
      </w:r>
    </w:p>
    <w:tbl>
      <w:tblPr>
        <w:tblStyle w:val="12"/>
        <w:tblW w:w="5092"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91"/>
        <w:gridCol w:w="2495"/>
        <w:gridCol w:w="1402"/>
        <w:gridCol w:w="4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right"/>
        </w:trPr>
        <w:tc>
          <w:tcPr>
            <w:tcW w:w="330" w:type="pct"/>
            <w:vMerge w:val="restart"/>
            <w:noWrap w:val="0"/>
            <w:vAlign w:val="center"/>
          </w:tcPr>
          <w:p>
            <w:pPr>
              <w:spacing w:line="420" w:lineRule="exact"/>
              <w:jc w:val="center"/>
              <w:rPr>
                <w:rFonts w:hint="eastAsia" w:cs="宋体"/>
                <w:color w:val="000000"/>
                <w:kern w:val="0"/>
                <w:lang w:val="en-US" w:eastAsia="zh-CN"/>
              </w:rPr>
            </w:pPr>
            <w:r>
              <w:rPr>
                <w:rFonts w:hint="eastAsia" w:cs="宋体"/>
                <w:color w:val="000000"/>
                <w:kern w:val="0"/>
                <w:lang w:val="en-US" w:eastAsia="zh-CN"/>
              </w:rPr>
              <w:t>项目清单及</w:t>
            </w:r>
          </w:p>
          <w:p>
            <w:pPr>
              <w:spacing w:line="420" w:lineRule="exact"/>
              <w:jc w:val="center"/>
              <w:rPr>
                <w:rFonts w:hint="eastAsia" w:eastAsia="宋体"/>
                <w:color w:val="000000"/>
                <w:lang w:val="en-US" w:eastAsia="zh-CN"/>
              </w:rPr>
            </w:pPr>
            <w:r>
              <w:rPr>
                <w:rFonts w:hint="eastAsia" w:cs="宋体"/>
                <w:color w:val="000000"/>
                <w:kern w:val="0"/>
              </w:rPr>
              <w:t>技术参</w:t>
            </w:r>
            <w:r>
              <w:rPr>
                <w:rFonts w:hint="eastAsia" w:cs="宋体"/>
                <w:color w:val="000000"/>
                <w:kern w:val="0"/>
                <w:lang w:val="en-US" w:eastAsia="zh-CN"/>
              </w:rPr>
              <w:t>数</w:t>
            </w:r>
          </w:p>
        </w:tc>
        <w:tc>
          <w:tcPr>
            <w:tcW w:w="291" w:type="pct"/>
            <w:noWrap w:val="0"/>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1229" w:type="pct"/>
            <w:noWrap w:val="0"/>
            <w:vAlign w:val="center"/>
          </w:tcPr>
          <w:p>
            <w:pPr>
              <w:autoSpaceDE w:val="0"/>
              <w:autoSpaceDN w:val="0"/>
              <w:jc w:val="center"/>
              <w:rPr>
                <w:rFonts w:hint="default" w:ascii="宋体" w:hAnsi="宋体" w:eastAsia="宋体"/>
                <w:b/>
                <w:sz w:val="18"/>
                <w:szCs w:val="18"/>
                <w:lang w:val="en-US" w:eastAsia="zh-CN"/>
              </w:rPr>
            </w:pPr>
            <w:r>
              <w:rPr>
                <w:rFonts w:ascii="宋体" w:hAnsi="宋体"/>
                <w:b/>
                <w:sz w:val="18"/>
                <w:szCs w:val="18"/>
              </w:rPr>
              <w:t>产品名称</w:t>
            </w:r>
          </w:p>
        </w:tc>
        <w:tc>
          <w:tcPr>
            <w:tcW w:w="690" w:type="pct"/>
            <w:noWrap w:val="0"/>
            <w:vAlign w:val="center"/>
          </w:tcPr>
          <w:p>
            <w:pPr>
              <w:autoSpaceDE w:val="0"/>
              <w:autoSpaceDN w:val="0"/>
              <w:jc w:val="center"/>
              <w:rPr>
                <w:rFonts w:hint="eastAsia" w:ascii="宋体" w:hAnsi="宋体"/>
                <w:b/>
                <w:sz w:val="18"/>
                <w:szCs w:val="18"/>
                <w:lang w:val="en-US" w:eastAsia="zh-CN"/>
              </w:rPr>
            </w:pPr>
            <w:r>
              <w:rPr>
                <w:rFonts w:hint="eastAsia" w:ascii="宋体" w:hAnsi="宋体"/>
                <w:b/>
                <w:sz w:val="18"/>
                <w:szCs w:val="18"/>
              </w:rPr>
              <w:t>预估年</w:t>
            </w:r>
            <w:r>
              <w:rPr>
                <w:rFonts w:hint="eastAsia" w:ascii="宋体" w:hAnsi="宋体"/>
                <w:b/>
                <w:sz w:val="18"/>
                <w:szCs w:val="18"/>
                <w:lang w:val="en-US" w:eastAsia="zh-CN"/>
              </w:rPr>
              <w:t>度</w:t>
            </w:r>
          </w:p>
          <w:p>
            <w:pPr>
              <w:autoSpaceDE w:val="0"/>
              <w:autoSpaceDN w:val="0"/>
              <w:jc w:val="center"/>
              <w:rPr>
                <w:rFonts w:ascii="宋体" w:hAnsi="宋体"/>
                <w:b/>
                <w:sz w:val="18"/>
                <w:szCs w:val="18"/>
              </w:rPr>
            </w:pPr>
            <w:r>
              <w:rPr>
                <w:rFonts w:hint="eastAsia" w:ascii="宋体" w:hAnsi="宋体"/>
                <w:b/>
                <w:sz w:val="18"/>
                <w:szCs w:val="18"/>
                <w:lang w:val="en-US" w:eastAsia="zh-CN"/>
              </w:rPr>
              <w:t>用</w:t>
            </w:r>
            <w:r>
              <w:rPr>
                <w:rFonts w:hint="eastAsia" w:ascii="宋体" w:hAnsi="宋体"/>
                <w:b/>
                <w:sz w:val="18"/>
                <w:szCs w:val="18"/>
              </w:rPr>
              <w:t>量</w:t>
            </w:r>
          </w:p>
        </w:tc>
        <w:tc>
          <w:tcPr>
            <w:tcW w:w="2458" w:type="pct"/>
            <w:noWrap w:val="0"/>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right"/>
        </w:trPr>
        <w:tc>
          <w:tcPr>
            <w:tcW w:w="330" w:type="pct"/>
            <w:vMerge w:val="continue"/>
            <w:noWrap w:val="0"/>
            <w:vAlign w:val="center"/>
          </w:tcPr>
          <w:p>
            <w:pPr>
              <w:spacing w:line="420" w:lineRule="exact"/>
              <w:jc w:val="center"/>
              <w:rPr>
                <w:rFonts w:hint="eastAsia" w:cs="宋体"/>
                <w:color w:val="000000"/>
                <w:kern w:val="0"/>
              </w:rPr>
            </w:pPr>
          </w:p>
        </w:tc>
        <w:tc>
          <w:tcPr>
            <w:tcW w:w="291" w:type="pct"/>
            <w:noWrap w:val="0"/>
            <w:vAlign w:val="center"/>
          </w:tcPr>
          <w:p>
            <w:pPr>
              <w:autoSpaceDE w:val="0"/>
              <w:autoSpaceDN w:val="0"/>
              <w:jc w:val="center"/>
              <w:rPr>
                <w:rFonts w:ascii="宋体" w:hAnsi="宋体"/>
                <w:kern w:val="2"/>
                <w:sz w:val="21"/>
                <w:szCs w:val="21"/>
                <w:lang w:val="en-US" w:eastAsia="zh-CN" w:bidi="ar-SA"/>
              </w:rPr>
            </w:pPr>
            <w:r>
              <w:rPr>
                <w:rFonts w:hint="eastAsia" w:ascii="宋体" w:hAnsi="宋体"/>
                <w:sz w:val="21"/>
                <w:szCs w:val="21"/>
              </w:rPr>
              <w:t>1</w:t>
            </w:r>
          </w:p>
        </w:tc>
        <w:tc>
          <w:tcPr>
            <w:tcW w:w="1229"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lang w:val="en-US" w:eastAsia="zh-CN"/>
              </w:rPr>
              <w:t>一次性无菌螺纹口注射器</w:t>
            </w:r>
          </w:p>
        </w:tc>
        <w:tc>
          <w:tcPr>
            <w:tcW w:w="690" w:type="pct"/>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650个</w:t>
            </w:r>
          </w:p>
        </w:tc>
        <w:tc>
          <w:tcPr>
            <w:tcW w:w="2458" w:type="pct"/>
            <w:noWrap w:val="0"/>
            <w:vAlign w:val="top"/>
          </w:tcPr>
          <w:p>
            <w:pPr>
              <w:pStyle w:val="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用途：用于抽吸液体或在皮下肌肉等注射药液。</w:t>
            </w:r>
          </w:p>
          <w:p>
            <w:pPr>
              <w:pStyle w:val="2"/>
              <w:rPr>
                <w:rFonts w:hint="default" w:ascii="Times New Roman" w:hAnsi="Times New Roman" w:eastAsia="宋体" w:cs="Times New Roman"/>
                <w:lang w:val="en-US"/>
              </w:rPr>
            </w:pPr>
            <w:r>
              <w:rPr>
                <w:rFonts w:hint="eastAsia" w:ascii="Times New Roman" w:hAnsi="Times New Roman" w:eastAsia="宋体" w:cs="Times New Roman"/>
              </w:rPr>
              <w:t>▲</w:t>
            </w:r>
            <w:r>
              <w:rPr>
                <w:rFonts w:hint="eastAsia" w:ascii="Times New Roman" w:hAnsi="Times New Roman" w:eastAsia="宋体" w:cs="Times New Roman"/>
                <w:lang w:val="en-US" w:eastAsia="zh-CN"/>
              </w:rPr>
              <w:t xml:space="preserve">1. </w:t>
            </w:r>
            <w:r>
              <w:rPr>
                <w:rFonts w:hint="default" w:ascii="Times New Roman" w:hAnsi="Times New Roman" w:eastAsia="宋体" w:cs="Times New Roman"/>
                <w:lang w:val="en-US"/>
              </w:rPr>
              <w:t>由芯杆、外套、活塞和注射针</w:t>
            </w:r>
            <w:r>
              <w:rPr>
                <w:rFonts w:hint="eastAsia" w:ascii="Times New Roman" w:hAnsi="Times New Roman" w:eastAsia="宋体" w:cs="Times New Roman"/>
                <w:lang w:val="en-US" w:eastAsia="zh-CN"/>
              </w:rPr>
              <w:t>等</w:t>
            </w:r>
            <w:r>
              <w:rPr>
                <w:rFonts w:hint="default" w:ascii="Times New Roman" w:hAnsi="Times New Roman" w:eastAsia="宋体" w:cs="Times New Roman"/>
                <w:lang w:val="en-US"/>
              </w:rPr>
              <w:t>组成。</w:t>
            </w:r>
          </w:p>
          <w:p>
            <w:pPr>
              <w:pStyle w:val="2"/>
              <w:rPr>
                <w:rFonts w:hint="default" w:ascii="Times New Roman" w:hAnsi="Times New Roman" w:eastAsia="宋体" w:cs="Times New Roman"/>
                <w:lang w:val="en-US"/>
              </w:rPr>
            </w:pPr>
            <w:r>
              <w:rPr>
                <w:rFonts w:hint="eastAsia" w:ascii="Times New Roman" w:hAnsi="Times New Roman" w:eastAsia="宋体" w:cs="Times New Roman"/>
              </w:rPr>
              <w:t>▲</w:t>
            </w:r>
            <w:r>
              <w:rPr>
                <w:rFonts w:hint="eastAsia" w:ascii="Times New Roman" w:hAnsi="Times New Roman" w:eastAsia="宋体" w:cs="Times New Roman"/>
                <w:lang w:val="en-US" w:eastAsia="zh-CN"/>
              </w:rPr>
              <w:t xml:space="preserve">2. </w:t>
            </w:r>
            <w:r>
              <w:rPr>
                <w:rFonts w:hint="default" w:ascii="Times New Roman" w:hAnsi="Times New Roman" w:eastAsia="宋体" w:cs="Times New Roman"/>
                <w:lang w:val="en-US"/>
              </w:rPr>
              <w:t>产品无菌、无热原、无溶血反应。</w:t>
            </w:r>
          </w:p>
          <w:p>
            <w:pPr>
              <w:pStyle w:val="2"/>
              <w:rPr>
                <w:rFonts w:hint="eastAsia"/>
                <w:lang w:val="en-US" w:eastAsia="zh-CN"/>
              </w:rPr>
            </w:pPr>
            <w:r>
              <w:rPr>
                <w:rFonts w:hint="eastAsia" w:ascii="Times New Roman" w:hAnsi="Times New Roman" w:eastAsia="宋体" w:cs="Times New Roman"/>
              </w:rPr>
              <w:t>▲</w:t>
            </w:r>
            <w:r>
              <w:rPr>
                <w:rFonts w:hint="eastAsia" w:ascii="Times New Roman" w:hAnsi="Times New Roman" w:cs="Times New Roman"/>
                <w:lang w:val="en-US" w:eastAsia="zh-CN"/>
              </w:rPr>
              <w:t xml:space="preserve">3. </w:t>
            </w:r>
            <w:r>
              <w:rPr>
                <w:rFonts w:hint="eastAsia"/>
                <w:lang w:val="en-US" w:eastAsia="zh-CN"/>
              </w:rPr>
              <w:t>螺纹口。</w:t>
            </w:r>
          </w:p>
          <w:p>
            <w:pPr>
              <w:pStyle w:val="2"/>
              <w:rPr>
                <w:rFonts w:hint="default" w:ascii="Times New Roman" w:hAnsi="Times New Roman" w:cs="Times New Roman"/>
                <w:lang w:val="en-US" w:eastAsia="zh-CN"/>
              </w:rPr>
            </w:pPr>
            <w:r>
              <w:rPr>
                <w:rFonts w:hint="eastAsia" w:ascii="Times New Roman" w:hAnsi="Times New Roman" w:eastAsia="宋体" w:cs="Times New Roman"/>
              </w:rPr>
              <w:t>▲</w:t>
            </w:r>
            <w:r>
              <w:rPr>
                <w:rFonts w:hint="eastAsia" w:ascii="Times New Roman" w:hAnsi="Times New Roman" w:cs="Times New Roman"/>
                <w:lang w:val="en-US" w:eastAsia="zh-CN"/>
              </w:rPr>
              <w:t>4. 至少对1ml、20ml两种规格进行报价（如有其他规格也可报价）</w:t>
            </w:r>
          </w:p>
          <w:p>
            <w:pPr>
              <w:pStyle w:val="2"/>
              <w:rPr>
                <w:rFonts w:hint="default"/>
                <w:lang w:val="en-US" w:eastAsia="zh-CN"/>
              </w:rPr>
            </w:pPr>
            <w:r>
              <w:rPr>
                <w:rFonts w:hint="eastAsia" w:ascii="Times New Roman" w:hAnsi="Times New Roman" w:eastAsia="宋体" w:cs="Times New Roman"/>
              </w:rPr>
              <w:t>▲</w:t>
            </w:r>
            <w:r>
              <w:rPr>
                <w:rFonts w:hint="eastAsia" w:ascii="Times New Roman" w:hAnsi="Times New Roman" w:cs="Times New Roman"/>
                <w:lang w:val="en-US" w:eastAsia="zh-CN"/>
              </w:rPr>
              <w:t xml:space="preserve">5. </w:t>
            </w:r>
            <w:r>
              <w:rPr>
                <w:rFonts w:hint="eastAsia"/>
                <w:lang w:val="en-US" w:eastAsia="zh-CN"/>
              </w:rPr>
              <w:t>一次性使用。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right"/>
        </w:trPr>
        <w:tc>
          <w:tcPr>
            <w:tcW w:w="330" w:type="pct"/>
            <w:noWrap w:val="0"/>
            <w:vAlign w:val="center"/>
          </w:tcPr>
          <w:p>
            <w:pPr>
              <w:spacing w:line="420" w:lineRule="exact"/>
              <w:jc w:val="center"/>
              <w:rPr>
                <w:rFonts w:hint="eastAsia" w:cs="宋体"/>
                <w:color w:val="000000"/>
                <w:kern w:val="0"/>
              </w:rPr>
            </w:pPr>
            <w:r>
              <w:rPr>
                <w:rFonts w:hint="eastAsia" w:cs="宋体"/>
                <w:color w:val="000000"/>
                <w:kern w:val="0"/>
              </w:rPr>
              <w:t>商务</w:t>
            </w:r>
          </w:p>
          <w:p>
            <w:pPr>
              <w:spacing w:line="420" w:lineRule="exact"/>
              <w:jc w:val="center"/>
              <w:rPr>
                <w:rFonts w:hint="eastAsia" w:cs="宋体"/>
                <w:color w:val="000000"/>
                <w:kern w:val="0"/>
              </w:rPr>
            </w:pPr>
            <w:r>
              <w:rPr>
                <w:rFonts w:hint="eastAsia" w:cs="宋体"/>
                <w:color w:val="000000"/>
                <w:kern w:val="0"/>
              </w:rPr>
              <w:t>要求</w:t>
            </w:r>
          </w:p>
        </w:tc>
        <w:tc>
          <w:tcPr>
            <w:tcW w:w="4669" w:type="pct"/>
            <w:gridSpan w:val="4"/>
            <w:shd w:val="clear" w:color="auto" w:fill="auto"/>
            <w:noWrap w:val="0"/>
            <w:vAlign w:val="center"/>
          </w:tcPr>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宋体" w:hAnsi="宋体" w:cs="Segoe UI"/>
                <w:color w:val="333333"/>
                <w:spacing w:val="8"/>
                <w:kern w:val="0"/>
                <w:sz w:val="18"/>
                <w:szCs w:val="18"/>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结算，且</w:t>
            </w:r>
            <w:r>
              <w:rPr>
                <w:rFonts w:hint="eastAsia" w:ascii="Times New Roman" w:hAnsi="Times New Roman" w:eastAsia="宋体" w:cs="Times New Roman"/>
                <w:lang w:val="en-US" w:eastAsia="zh-CN"/>
              </w:rPr>
              <w:t>每年实际结算</w:t>
            </w:r>
            <w:r>
              <w:rPr>
                <w:rFonts w:hint="eastAsia" w:ascii="Times New Roman" w:hAnsi="Times New Roman" w:eastAsia="宋体" w:cs="Times New Roman"/>
              </w:rPr>
              <w:t>不超过</w:t>
            </w:r>
            <w:r>
              <w:rPr>
                <w:rFonts w:hint="eastAsia" w:ascii="Times New Roman" w:hAnsi="Times New Roman" w:eastAsia="宋体" w:cs="Times New Roman"/>
                <w:lang w:val="en-US" w:eastAsia="zh-CN"/>
              </w:rPr>
              <w:t>投标</w:t>
            </w:r>
            <w:r>
              <w:rPr>
                <w:rFonts w:hint="eastAsia" w:ascii="Times New Roman" w:hAnsi="Times New Roman" w:eastAsia="宋体" w:cs="Times New Roman"/>
              </w:rPr>
              <w:t>总</w:t>
            </w:r>
            <w:r>
              <w:rPr>
                <w:rFonts w:hint="eastAsia" w:ascii="Times New Roman" w:hAnsi="Times New Roman" w:eastAsia="宋体" w:cs="Times New Roman"/>
                <w:lang w:val="en-US" w:eastAsia="zh-CN"/>
              </w:rPr>
              <w:t>价</w:t>
            </w:r>
            <w:r>
              <w:rPr>
                <w:rFonts w:hint="eastAsia" w:ascii="Times New Roman" w:hAnsi="Times New Roman" w:eastAsia="宋体" w:cs="Times New Roman"/>
              </w:rPr>
              <w:t>。</w:t>
            </w:r>
            <w:bookmarkStart w:id="2" w:name="_GoBack"/>
            <w:bookmarkEnd w:id="2"/>
          </w:p>
        </w:tc>
      </w:tr>
    </w:tbl>
    <w:p>
      <w:pPr>
        <w:pStyle w:val="4"/>
        <w:rPr>
          <w:rFonts w:hint="eastAsia" w:ascii="宋体" w:hAnsi="宋体" w:eastAsia="宋体" w:cs="仿宋"/>
          <w:sz w:val="24"/>
          <w:szCs w:val="24"/>
        </w:rPr>
      </w:pPr>
    </w:p>
    <w:p>
      <w:pPr>
        <w:pStyle w:val="4"/>
        <w:rPr>
          <w:rFonts w:hint="eastAsia" w:ascii="宋体" w:hAnsi="宋体" w:eastAsia="宋体" w:cs="仿宋"/>
          <w:sz w:val="24"/>
          <w:szCs w:val="24"/>
        </w:rPr>
      </w:pPr>
    </w:p>
    <w:p>
      <w:pPr>
        <w:pStyle w:val="4"/>
        <w:rPr>
          <w:rFonts w:hint="eastAsia" w:ascii="宋体" w:hAnsi="宋体" w:eastAsia="宋体" w:cs="仿宋"/>
          <w:sz w:val="24"/>
          <w:szCs w:val="24"/>
        </w:rPr>
      </w:pPr>
    </w:p>
    <w:bookmarkEnd w:id="1"/>
    <w:p>
      <w:pPr>
        <w:widowControl/>
        <w:spacing w:line="360" w:lineRule="auto"/>
        <w:jc w:val="left"/>
        <w:rPr>
          <w:rFonts w:ascii="宋体" w:hAnsi="宋体" w:eastAsia="宋体" w:cs="Segoe UI"/>
          <w:b/>
          <w:bCs/>
          <w:kern w:val="0"/>
          <w:sz w:val="28"/>
          <w:szCs w:val="28"/>
        </w:rPr>
      </w:pPr>
    </w:p>
    <w:p>
      <w:pPr>
        <w:rPr>
          <w:rFonts w:ascii="宋体" w:hAnsi="宋体" w:eastAsia="宋体" w:cs="Segoe UI"/>
          <w:b/>
          <w:bCs/>
          <w:kern w:val="0"/>
          <w:sz w:val="28"/>
          <w:szCs w:val="28"/>
        </w:rPr>
      </w:pPr>
      <w:r>
        <w:rPr>
          <w:rFonts w:hint="eastAsia" w:ascii="宋体" w:hAnsi="宋体" w:eastAsia="宋体" w:cs="Segoe UI"/>
          <w:b/>
          <w:bCs/>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2</w:t>
      </w:r>
      <w:r>
        <w:rPr>
          <w:rFonts w:hint="eastAsia" w:ascii="仿宋_GB2312" w:hAnsi="Segoe UI" w:eastAsia="仿宋_GB2312" w:cs="Segoe UI"/>
          <w:color w:val="000000" w:themeColor="text1"/>
          <w:kern w:val="0"/>
          <w:sz w:val="24"/>
          <w:szCs w:val="24"/>
          <w:lang w:val="en-US" w:eastAsia="zh-CN"/>
        </w:rPr>
        <w:t>6</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r>
        <w:rPr>
          <w:rFonts w:hint="eastAsia" w:ascii="仿宋" w:hAnsi="仿宋" w:eastAsia="仿宋" w:cs="仿宋"/>
          <w:w w:val="95"/>
        </w:rPr>
        <w:t>承诺函</w:t>
      </w:r>
    </w:p>
    <w:p>
      <w:pPr>
        <w:spacing w:line="360" w:lineRule="auto"/>
        <w:outlineLvl w:val="1"/>
        <w:rPr>
          <w:rFonts w:hint="eastAsia" w:ascii="仿宋" w:hAnsi="仿宋" w:eastAsia="仿宋" w:cs="仿宋"/>
          <w:sz w:val="22"/>
        </w:rPr>
      </w:pPr>
      <w:r>
        <w:rPr>
          <w:rFonts w:hint="eastAsia" w:ascii="仿宋" w:hAnsi="仿宋" w:eastAsia="仿宋" w:cs="仿宋"/>
          <w:sz w:val="22"/>
        </w:rPr>
        <w:t>致：</w:t>
      </w:r>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p>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日    期：</w:t>
      </w: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shd w:val="clear" w:color="auto" w:fill="auto"/>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胃幽门螺杆菌检测试剂盒）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Segoe UI" w:eastAsia="仿宋_GB2312" w:cs="Segoe UI"/>
          <w:color w:val="000000" w:themeColor="text1"/>
          <w:kern w:val="0"/>
          <w:sz w:val="24"/>
          <w:szCs w:val="24"/>
        </w:rPr>
      </w:pPr>
      <w:r>
        <w:rPr>
          <w:rFonts w:hint="eastAsia" w:ascii="仿宋_GB2312" w:hAnsi="仿宋_GB2312" w:eastAsia="仿宋_GB2312" w:cs="仿宋_GB2312"/>
          <w:sz w:val="28"/>
          <w:szCs w:val="28"/>
        </w:rPr>
        <w:t>日期：   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46E5"/>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F1C"/>
    <w:rsid w:val="002820EB"/>
    <w:rsid w:val="002827A4"/>
    <w:rsid w:val="002832F3"/>
    <w:rsid w:val="00294FBE"/>
    <w:rsid w:val="002A4E9F"/>
    <w:rsid w:val="002A559A"/>
    <w:rsid w:val="002B147D"/>
    <w:rsid w:val="002B6776"/>
    <w:rsid w:val="002C226D"/>
    <w:rsid w:val="002C28D3"/>
    <w:rsid w:val="002C5D14"/>
    <w:rsid w:val="002C6AE8"/>
    <w:rsid w:val="002D7F0F"/>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0E95"/>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2921"/>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32915"/>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E30BD"/>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0E1F"/>
    <w:rsid w:val="00DB3F6C"/>
    <w:rsid w:val="00DC3AB1"/>
    <w:rsid w:val="00DC4C36"/>
    <w:rsid w:val="00DE14EC"/>
    <w:rsid w:val="00DE31ED"/>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E911C5D"/>
    <w:rsid w:val="195D2073"/>
    <w:rsid w:val="19D73A4C"/>
    <w:rsid w:val="220D7A44"/>
    <w:rsid w:val="2DB74145"/>
    <w:rsid w:val="3225785E"/>
    <w:rsid w:val="34C1527C"/>
    <w:rsid w:val="34E74E35"/>
    <w:rsid w:val="364F4E7F"/>
    <w:rsid w:val="365344A5"/>
    <w:rsid w:val="411D3A60"/>
    <w:rsid w:val="439F78E1"/>
    <w:rsid w:val="4423076F"/>
    <w:rsid w:val="48460CDC"/>
    <w:rsid w:val="51CB3FD0"/>
    <w:rsid w:val="5536063D"/>
    <w:rsid w:val="60F45C65"/>
    <w:rsid w:val="62FA0171"/>
    <w:rsid w:val="65C660EF"/>
    <w:rsid w:val="701306BF"/>
    <w:rsid w:val="75233D75"/>
    <w:rsid w:val="78BA1DAC"/>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26"/>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link w:val="25"/>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NormalCharacter"/>
    <w:qFormat/>
    <w:uiPriority w:val="0"/>
  </w:style>
  <w:style w:type="character" w:customStyle="1" w:styleId="25">
    <w:name w:val="正文文本缩进 2 Char"/>
    <w:basedOn w:val="14"/>
    <w:link w:val="6"/>
    <w:semiHidden/>
    <w:qFormat/>
    <w:uiPriority w:val="99"/>
    <w:rPr>
      <w:rFonts w:asciiTheme="minorHAnsi" w:hAnsiTheme="minorHAnsi" w:eastAsiaTheme="minorEastAsia" w:cstheme="minorBidi"/>
      <w:kern w:val="2"/>
      <w:sz w:val="21"/>
      <w:szCs w:val="22"/>
    </w:rPr>
  </w:style>
  <w:style w:type="character" w:customStyle="1" w:styleId="26">
    <w:name w:val="正文文本 Char"/>
    <w:basedOn w:val="14"/>
    <w:link w:val="2"/>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EA8A53-B26B-4B29-A513-F392F504E0E9}">
  <ds:schemaRefs/>
</ds:datastoreItem>
</file>

<file path=docProps/app.xml><?xml version="1.0" encoding="utf-8"?>
<Properties xmlns="http://schemas.openxmlformats.org/officeDocument/2006/extended-properties" xmlns:vt="http://schemas.openxmlformats.org/officeDocument/2006/docPropsVTypes">
  <Template>Normal</Template>
  <Pages>11</Pages>
  <Words>908</Words>
  <Characters>5182</Characters>
  <Lines>43</Lines>
  <Paragraphs>12</Paragraphs>
  <TotalTime>1</TotalTime>
  <ScaleCrop>false</ScaleCrop>
  <LinksUpToDate>false</LinksUpToDate>
  <CharactersWithSpaces>6078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卢</cp:lastModifiedBy>
  <dcterms:modified xsi:type="dcterms:W3CDTF">2023-12-20T00:49:58Z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