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pacing w:before="0" w:after="0" w:line="360" w:lineRule="auto"/>
        <w:ind w:firstLine="118" w:firstLineChars="49"/>
        <w:jc w:val="left"/>
        <w:rPr>
          <w:rFonts w:ascii="宋体" w:hAnsi="宋体" w:eastAsia="宋体" w:cs="仿宋"/>
          <w:bCs w:val="0"/>
          <w:sz w:val="24"/>
          <w:szCs w:val="24"/>
        </w:rPr>
      </w:pPr>
      <w:bookmarkStart w:id="0" w:name="_Toc217446094"/>
    </w:p>
    <w:p>
      <w:pPr>
        <w:pStyle w:val="3"/>
        <w:keepNext w:val="0"/>
        <w:keepLines w:val="0"/>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p>
    <w:p>
      <w:pPr>
        <w:pStyle w:val="3"/>
        <w:spacing w:after="0" w:line="360" w:lineRule="auto"/>
        <w:ind w:firstLine="236" w:firstLineChars="98"/>
        <w:rPr>
          <w:rFonts w:ascii="宋体" w:hAnsi="宋体" w:eastAsia="宋体" w:cs="仿宋"/>
          <w:sz w:val="24"/>
          <w:szCs w:val="24"/>
        </w:rPr>
      </w:pPr>
      <w:r>
        <w:rPr>
          <w:rFonts w:hint="eastAsia" w:ascii="宋体" w:hAnsi="宋体" w:eastAsia="宋体" w:cs="仿宋"/>
          <w:sz w:val="24"/>
          <w:szCs w:val="24"/>
        </w:rPr>
        <w:t>一、采购项目编号：SCFY-YXZB20231</w:t>
      </w:r>
      <w:r>
        <w:rPr>
          <w:rFonts w:hint="eastAsia" w:ascii="宋体" w:hAnsi="宋体" w:eastAsia="宋体" w:cs="仿宋"/>
          <w:sz w:val="24"/>
          <w:szCs w:val="24"/>
          <w:lang w:val="en-US" w:eastAsia="zh-CN"/>
        </w:rPr>
        <w:t>1</w:t>
      </w:r>
      <w:r>
        <w:rPr>
          <w:rFonts w:hint="eastAsia" w:ascii="宋体" w:hAnsi="宋体" w:eastAsia="宋体" w:cs="仿宋"/>
          <w:sz w:val="24"/>
          <w:szCs w:val="24"/>
        </w:rPr>
        <w:t>-0</w:t>
      </w:r>
      <w:r>
        <w:rPr>
          <w:rFonts w:hint="eastAsia" w:ascii="宋体" w:hAnsi="宋体" w:eastAsia="宋体" w:cs="仿宋"/>
          <w:sz w:val="24"/>
          <w:szCs w:val="24"/>
          <w:lang w:val="en-US" w:eastAsia="zh-CN"/>
        </w:rPr>
        <w:t>10</w:t>
      </w:r>
      <w:r>
        <w:rPr>
          <w:rFonts w:hint="eastAsia" w:ascii="宋体" w:hAnsi="宋体" w:eastAsia="宋体" w:cs="仿宋"/>
          <w:sz w:val="24"/>
          <w:szCs w:val="24"/>
        </w:rPr>
        <w:t>（询）</w:t>
      </w:r>
    </w:p>
    <w:p>
      <w:pPr>
        <w:pStyle w:val="3"/>
        <w:spacing w:after="0" w:line="360" w:lineRule="auto"/>
        <w:ind w:firstLine="236" w:firstLineChars="98"/>
        <w:rPr>
          <w:rFonts w:ascii="宋体" w:hAnsi="宋体" w:eastAsia="宋体" w:cs="仿宋"/>
          <w:sz w:val="24"/>
          <w:szCs w:val="24"/>
        </w:rPr>
      </w:pPr>
      <w:r>
        <w:rPr>
          <w:rFonts w:hint="eastAsia" w:ascii="宋体" w:hAnsi="宋体" w:eastAsia="宋体" w:cs="仿宋"/>
          <w:sz w:val="24"/>
          <w:szCs w:val="24"/>
        </w:rPr>
        <w:t>二、年度采购预算：</w:t>
      </w:r>
      <w:r>
        <w:rPr>
          <w:rFonts w:hint="eastAsia" w:ascii="宋体" w:hAnsi="宋体" w:eastAsia="宋体" w:cs="仿宋"/>
          <w:sz w:val="24"/>
          <w:szCs w:val="24"/>
          <w:lang w:val="en-US" w:eastAsia="zh-CN"/>
        </w:rPr>
        <w:t>0.4</w:t>
      </w:r>
      <w:r>
        <w:rPr>
          <w:rFonts w:hint="eastAsia" w:ascii="宋体" w:hAnsi="宋体" w:eastAsia="宋体" w:cs="仿宋"/>
          <w:sz w:val="24"/>
          <w:szCs w:val="24"/>
        </w:rPr>
        <w:t>万元/年</w:t>
      </w:r>
    </w:p>
    <w:p>
      <w:pPr>
        <w:pStyle w:val="3"/>
        <w:spacing w:after="0" w:line="360" w:lineRule="auto"/>
        <w:ind w:firstLine="236" w:firstLineChars="98"/>
        <w:rPr>
          <w:rFonts w:ascii="宋体" w:hAnsi="宋体" w:eastAsia="宋体" w:cs="仿宋"/>
          <w:sz w:val="24"/>
          <w:szCs w:val="24"/>
        </w:rPr>
      </w:pPr>
      <w:r>
        <w:rPr>
          <w:rFonts w:hint="eastAsia" w:ascii="宋体" w:hAnsi="宋体" w:eastAsia="宋体" w:cs="仿宋"/>
          <w:sz w:val="24"/>
          <w:szCs w:val="24"/>
        </w:rPr>
        <w:t xml:space="preserve">三、 </w:t>
      </w:r>
      <w:bookmarkEnd w:id="0"/>
      <w:bookmarkStart w:id="1" w:name="_Toc217446095"/>
      <w:r>
        <w:rPr>
          <w:rFonts w:hint="eastAsia" w:ascii="宋体" w:hAnsi="宋体" w:eastAsia="宋体" w:cs="仿宋"/>
          <w:sz w:val="24"/>
          <w:szCs w:val="24"/>
        </w:rPr>
        <w:t>项目清单及技术</w:t>
      </w:r>
      <w:r>
        <w:rPr>
          <w:rFonts w:hint="eastAsia" w:ascii="宋体" w:hAnsi="宋体" w:eastAsia="宋体" w:cs="仿宋"/>
          <w:sz w:val="24"/>
          <w:szCs w:val="24"/>
          <w:lang w:eastAsia="zh-CN"/>
        </w:rPr>
        <w:t>、</w:t>
      </w:r>
      <w:r>
        <w:rPr>
          <w:rFonts w:hint="eastAsia" w:ascii="宋体" w:hAnsi="宋体" w:eastAsia="宋体" w:cs="仿宋"/>
          <w:sz w:val="24"/>
          <w:szCs w:val="24"/>
          <w:lang w:val="en-US" w:eastAsia="zh-CN"/>
        </w:rPr>
        <w:t>商务</w:t>
      </w:r>
      <w:r>
        <w:rPr>
          <w:rFonts w:hint="eastAsia" w:ascii="宋体" w:hAnsi="宋体" w:eastAsia="宋体" w:cs="仿宋"/>
          <w:sz w:val="24"/>
          <w:szCs w:val="24"/>
        </w:rPr>
        <w:t>要求：</w:t>
      </w:r>
    </w:p>
    <w:bookmarkEnd w:id="1"/>
    <w:tbl>
      <w:tblPr>
        <w:tblStyle w:val="12"/>
        <w:tblW w:w="50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441"/>
        <w:gridCol w:w="948"/>
        <w:gridCol w:w="696"/>
        <w:gridCol w:w="948"/>
        <w:gridCol w:w="6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466" w:type="pct"/>
            <w:vMerge w:val="restart"/>
            <w:noWrap w:val="0"/>
            <w:vAlign w:val="center"/>
          </w:tcPr>
          <w:p>
            <w:pPr>
              <w:spacing w:line="420" w:lineRule="exact"/>
              <w:jc w:val="center"/>
              <w:rPr>
                <w:rFonts w:hint="eastAsia" w:cs="宋体"/>
                <w:color w:val="000000"/>
                <w:kern w:val="0"/>
                <w:lang w:val="en-US" w:eastAsia="zh-CN"/>
              </w:rPr>
            </w:pPr>
            <w:r>
              <w:rPr>
                <w:rFonts w:hint="eastAsia" w:cs="宋体"/>
                <w:color w:val="000000"/>
                <w:kern w:val="0"/>
                <w:lang w:val="en-US" w:eastAsia="zh-CN"/>
              </w:rPr>
              <w:t>项目清单及</w:t>
            </w:r>
          </w:p>
          <w:p>
            <w:pPr>
              <w:spacing w:line="420" w:lineRule="exact"/>
              <w:jc w:val="center"/>
              <w:rPr>
                <w:rFonts w:hint="eastAsia" w:eastAsia="宋体"/>
                <w:color w:val="000000"/>
                <w:lang w:val="en-US" w:eastAsia="zh-CN"/>
              </w:rPr>
            </w:pPr>
            <w:r>
              <w:rPr>
                <w:rFonts w:hint="eastAsia" w:cs="宋体"/>
                <w:color w:val="000000"/>
                <w:kern w:val="0"/>
              </w:rPr>
              <w:t>技术参</w:t>
            </w:r>
            <w:r>
              <w:rPr>
                <w:rFonts w:hint="eastAsia" w:cs="宋体"/>
                <w:color w:val="000000"/>
                <w:kern w:val="0"/>
                <w:lang w:val="en-US" w:eastAsia="zh-CN"/>
              </w:rPr>
              <w:t>数</w:t>
            </w:r>
          </w:p>
        </w:tc>
        <w:tc>
          <w:tcPr>
            <w:tcW w:w="217" w:type="pct"/>
            <w:noWrap w:val="0"/>
            <w:vAlign w:val="center"/>
          </w:tcPr>
          <w:p>
            <w:pPr>
              <w:autoSpaceDE w:val="0"/>
              <w:autoSpaceDN w:val="0"/>
              <w:jc w:val="center"/>
              <w:rPr>
                <w:rFonts w:ascii="宋体" w:hAnsi="宋体"/>
                <w:b/>
                <w:sz w:val="18"/>
                <w:szCs w:val="18"/>
              </w:rPr>
            </w:pPr>
            <w:r>
              <w:rPr>
                <w:rFonts w:hint="eastAsia" w:ascii="宋体" w:hAnsi="宋体"/>
                <w:b/>
                <w:sz w:val="18"/>
                <w:szCs w:val="18"/>
              </w:rPr>
              <w:t>序号</w:t>
            </w:r>
          </w:p>
        </w:tc>
        <w:tc>
          <w:tcPr>
            <w:tcW w:w="467" w:type="pct"/>
            <w:noWrap w:val="0"/>
            <w:vAlign w:val="center"/>
          </w:tcPr>
          <w:p>
            <w:pPr>
              <w:autoSpaceDE w:val="0"/>
              <w:autoSpaceDN w:val="0"/>
              <w:jc w:val="center"/>
              <w:rPr>
                <w:rFonts w:ascii="宋体" w:hAnsi="宋体"/>
                <w:b/>
                <w:sz w:val="18"/>
                <w:szCs w:val="18"/>
              </w:rPr>
            </w:pPr>
            <w:r>
              <w:rPr>
                <w:rFonts w:ascii="宋体" w:hAnsi="宋体"/>
                <w:b/>
                <w:sz w:val="18"/>
                <w:szCs w:val="18"/>
              </w:rPr>
              <w:t>产品名称</w:t>
            </w:r>
          </w:p>
        </w:tc>
        <w:tc>
          <w:tcPr>
            <w:tcW w:w="343" w:type="pct"/>
            <w:noWrap w:val="0"/>
            <w:vAlign w:val="center"/>
          </w:tcPr>
          <w:p>
            <w:pPr>
              <w:autoSpaceDE w:val="0"/>
              <w:autoSpaceDN w:val="0"/>
              <w:jc w:val="center"/>
              <w:rPr>
                <w:rFonts w:hint="default" w:ascii="宋体" w:hAnsi="宋体" w:eastAsia="宋体"/>
                <w:b/>
                <w:sz w:val="18"/>
                <w:szCs w:val="18"/>
                <w:lang w:val="en-US" w:eastAsia="zh-CN"/>
              </w:rPr>
            </w:pPr>
            <w:r>
              <w:rPr>
                <w:rFonts w:hint="eastAsia" w:ascii="宋体" w:hAnsi="宋体"/>
                <w:b/>
                <w:sz w:val="18"/>
                <w:szCs w:val="18"/>
                <w:lang w:val="en-US" w:eastAsia="zh-CN"/>
              </w:rPr>
              <w:t>预算单价</w:t>
            </w:r>
          </w:p>
        </w:tc>
        <w:tc>
          <w:tcPr>
            <w:tcW w:w="467" w:type="pct"/>
            <w:noWrap w:val="0"/>
            <w:vAlign w:val="center"/>
          </w:tcPr>
          <w:p>
            <w:pPr>
              <w:autoSpaceDE w:val="0"/>
              <w:autoSpaceDN w:val="0"/>
              <w:jc w:val="center"/>
              <w:rPr>
                <w:rFonts w:hint="eastAsia" w:ascii="宋体" w:hAnsi="宋体"/>
                <w:b/>
                <w:sz w:val="18"/>
                <w:szCs w:val="18"/>
                <w:lang w:val="en-US" w:eastAsia="zh-CN"/>
              </w:rPr>
            </w:pPr>
            <w:r>
              <w:rPr>
                <w:rFonts w:hint="eastAsia" w:ascii="宋体" w:hAnsi="宋体"/>
                <w:b/>
                <w:sz w:val="18"/>
                <w:szCs w:val="18"/>
              </w:rPr>
              <w:t>预估年</w:t>
            </w:r>
            <w:r>
              <w:rPr>
                <w:rFonts w:hint="eastAsia" w:ascii="宋体" w:hAnsi="宋体"/>
                <w:b/>
                <w:sz w:val="18"/>
                <w:szCs w:val="18"/>
                <w:lang w:val="en-US" w:eastAsia="zh-CN"/>
              </w:rPr>
              <w:t>度</w:t>
            </w:r>
          </w:p>
          <w:p>
            <w:pPr>
              <w:autoSpaceDE w:val="0"/>
              <w:autoSpaceDN w:val="0"/>
              <w:jc w:val="center"/>
              <w:rPr>
                <w:rFonts w:ascii="宋体" w:hAnsi="宋体"/>
                <w:b/>
                <w:sz w:val="18"/>
                <w:szCs w:val="18"/>
              </w:rPr>
            </w:pPr>
            <w:r>
              <w:rPr>
                <w:rFonts w:hint="eastAsia" w:ascii="宋体" w:hAnsi="宋体"/>
                <w:b/>
                <w:sz w:val="18"/>
                <w:szCs w:val="18"/>
                <w:lang w:val="en-US" w:eastAsia="zh-CN"/>
              </w:rPr>
              <w:t>用</w:t>
            </w:r>
            <w:r>
              <w:rPr>
                <w:rFonts w:hint="eastAsia" w:ascii="宋体" w:hAnsi="宋体"/>
                <w:b/>
                <w:sz w:val="18"/>
                <w:szCs w:val="18"/>
              </w:rPr>
              <w:t>量</w:t>
            </w:r>
          </w:p>
        </w:tc>
        <w:tc>
          <w:tcPr>
            <w:tcW w:w="3037" w:type="pct"/>
            <w:noWrap w:val="0"/>
            <w:vAlign w:val="center"/>
          </w:tcPr>
          <w:p>
            <w:pPr>
              <w:autoSpaceDE w:val="0"/>
              <w:autoSpaceDN w:val="0"/>
              <w:jc w:val="center"/>
              <w:rPr>
                <w:rFonts w:ascii="宋体" w:hAnsi="宋体"/>
                <w:b/>
                <w:sz w:val="18"/>
                <w:szCs w:val="18"/>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466" w:type="pct"/>
            <w:vMerge w:val="continue"/>
            <w:noWrap w:val="0"/>
            <w:vAlign w:val="center"/>
          </w:tcPr>
          <w:p>
            <w:pPr>
              <w:spacing w:line="420" w:lineRule="exact"/>
              <w:jc w:val="center"/>
              <w:rPr>
                <w:rFonts w:hint="eastAsia" w:cs="宋体"/>
                <w:color w:val="000000"/>
                <w:kern w:val="0"/>
              </w:rPr>
            </w:pPr>
          </w:p>
        </w:tc>
        <w:tc>
          <w:tcPr>
            <w:tcW w:w="217" w:type="pct"/>
            <w:noWrap w:val="0"/>
            <w:vAlign w:val="center"/>
          </w:tcPr>
          <w:p>
            <w:pPr>
              <w:autoSpaceDE w:val="0"/>
              <w:autoSpaceDN w:val="0"/>
              <w:jc w:val="center"/>
              <w:rPr>
                <w:rFonts w:hint="eastAsia" w:ascii="宋体" w:hAnsi="宋体" w:eastAsia="宋体"/>
                <w:sz w:val="21"/>
                <w:szCs w:val="21"/>
                <w:lang w:val="en-US" w:eastAsia="zh-CN"/>
              </w:rPr>
            </w:pPr>
            <w:r>
              <w:rPr>
                <w:rFonts w:hint="eastAsia" w:ascii="宋体" w:hAnsi="宋体"/>
                <w:sz w:val="21"/>
                <w:szCs w:val="21"/>
                <w:lang w:val="en-US" w:eastAsia="zh-CN"/>
              </w:rPr>
              <w:t>1</w:t>
            </w:r>
          </w:p>
        </w:tc>
        <w:tc>
          <w:tcPr>
            <w:tcW w:w="467"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lang w:val="en-US" w:eastAsia="zh-CN"/>
              </w:rPr>
              <w:t>一次性使用防针刺静脉采血器</w:t>
            </w:r>
          </w:p>
        </w:tc>
        <w:tc>
          <w:tcPr>
            <w:tcW w:w="343"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8元</w:t>
            </w:r>
          </w:p>
        </w:tc>
        <w:tc>
          <w:tcPr>
            <w:tcW w:w="467"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500支</w:t>
            </w:r>
          </w:p>
        </w:tc>
        <w:tc>
          <w:tcPr>
            <w:tcW w:w="3037" w:type="pct"/>
            <w:noWrap w:val="0"/>
            <w:vAlign w:val="top"/>
          </w:tcPr>
          <w:p>
            <w:pPr>
              <w:widowControl/>
              <w:jc w:val="both"/>
              <w:textAlignment w:val="center"/>
              <w:rPr>
                <w:rFonts w:hint="eastAsia"/>
                <w:lang w:val="en-US" w:eastAsia="zh-CN"/>
              </w:rPr>
            </w:pPr>
            <w:r>
              <w:rPr>
                <w:rFonts w:hint="eastAsia"/>
                <w:lang w:val="en-US" w:eastAsia="zh-CN"/>
              </w:rPr>
              <w:t>1.产品用途：用于采血防针刺；</w:t>
            </w:r>
          </w:p>
          <w:p>
            <w:pPr>
              <w:widowControl/>
              <w:jc w:val="both"/>
              <w:textAlignment w:val="center"/>
              <w:rPr>
                <w:rFonts w:hint="default"/>
                <w:lang w:val="en-US" w:eastAsia="zh-CN"/>
              </w:rPr>
            </w:pPr>
            <w:r>
              <w:rPr>
                <w:rFonts w:hint="eastAsia"/>
                <w:lang w:val="en-US" w:eastAsia="zh-CN"/>
              </w:rPr>
              <w:t>2.主要技术参数要求：</w:t>
            </w:r>
          </w:p>
          <w:p>
            <w:pPr>
              <w:widowControl/>
              <w:jc w:val="both"/>
              <w:textAlignment w:val="center"/>
              <w:rPr>
                <w:rFonts w:hint="eastAsia"/>
                <w:lang w:val="en-US" w:eastAsia="zh-CN"/>
              </w:rPr>
            </w:pPr>
            <w:r>
              <w:rPr>
                <w:rFonts w:hint="eastAsia"/>
                <w:lang w:val="en-US" w:eastAsia="zh-CN"/>
              </w:rPr>
              <w:t>2.1产品经环氧乙烷灭菌，无菌、无毒、无热原；</w:t>
            </w:r>
          </w:p>
          <w:p>
            <w:pPr>
              <w:pStyle w:val="2"/>
              <w:rPr>
                <w:rFonts w:hint="eastAsia"/>
                <w:lang w:val="en-US" w:eastAsia="zh-CN"/>
              </w:rPr>
            </w:pPr>
            <w:r>
              <w:rPr>
                <w:rFonts w:hint="eastAsia" w:ascii="宋体" w:hAnsi="宋体" w:eastAsia="宋体" w:cs="仿宋"/>
                <w:bCs w:val="0"/>
                <w:sz w:val="24"/>
                <w:szCs w:val="24"/>
              </w:rPr>
              <w:t>▲</w:t>
            </w:r>
            <w:r>
              <w:rPr>
                <w:rFonts w:hint="eastAsia"/>
                <w:lang w:val="en-US" w:eastAsia="zh-CN"/>
              </w:rPr>
              <w:t>2.2 静脉采血防针刺。</w:t>
            </w:r>
          </w:p>
          <w:p>
            <w:pPr>
              <w:rPr>
                <w:rFonts w:hint="eastAsia"/>
                <w:lang w:val="en-US" w:eastAsia="zh-CN"/>
              </w:rPr>
            </w:pPr>
            <w:r>
              <w:rPr>
                <w:rFonts w:hint="eastAsia"/>
                <w:lang w:val="en-US" w:eastAsia="zh-CN"/>
              </w:rPr>
              <w:t>2.3针尖锋利，目视检测无毛刺、毛边、弯钩、平头缺陷，痛感小。</w:t>
            </w:r>
          </w:p>
          <w:p>
            <w:pPr>
              <w:widowControl/>
              <w:jc w:val="both"/>
              <w:textAlignment w:val="center"/>
              <w:rPr>
                <w:rFonts w:hint="default" w:ascii="宋体" w:hAnsi="宋体" w:eastAsia="宋体" w:cs="宋体"/>
                <w:kern w:val="2"/>
                <w:sz w:val="21"/>
                <w:szCs w:val="21"/>
                <w:lang w:val="en-US" w:eastAsia="zh-CN" w:bidi="ar-SA"/>
              </w:rPr>
            </w:pPr>
            <w:r>
              <w:rPr>
                <w:rFonts w:hint="eastAsia" w:ascii="宋体" w:hAnsi="宋体" w:eastAsia="宋体" w:cs="仿宋"/>
                <w:bCs w:val="0"/>
                <w:sz w:val="24"/>
                <w:szCs w:val="24"/>
              </w:rPr>
              <w:t>▲</w:t>
            </w:r>
            <w:r>
              <w:rPr>
                <w:rFonts w:hint="default"/>
                <w:lang w:val="en-US" w:eastAsia="zh-CN"/>
              </w:rPr>
              <w:t>号的条款为本次招标项目的实质性要求，不允许有负偏离。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466" w:type="pct"/>
            <w:noWrap w:val="0"/>
            <w:vAlign w:val="center"/>
          </w:tcPr>
          <w:p>
            <w:pPr>
              <w:spacing w:line="420" w:lineRule="exact"/>
              <w:jc w:val="center"/>
              <w:rPr>
                <w:rFonts w:hint="eastAsia" w:cs="宋体"/>
                <w:color w:val="000000"/>
                <w:kern w:val="0"/>
              </w:rPr>
            </w:pPr>
            <w:r>
              <w:rPr>
                <w:rFonts w:hint="eastAsia" w:cs="宋体"/>
                <w:color w:val="000000"/>
                <w:kern w:val="0"/>
              </w:rPr>
              <w:t>商务</w:t>
            </w:r>
          </w:p>
          <w:p>
            <w:pPr>
              <w:spacing w:line="420" w:lineRule="exact"/>
              <w:jc w:val="center"/>
              <w:rPr>
                <w:rFonts w:hint="eastAsia" w:cs="宋体"/>
                <w:color w:val="000000"/>
                <w:kern w:val="0"/>
              </w:rPr>
            </w:pPr>
            <w:r>
              <w:rPr>
                <w:rFonts w:hint="eastAsia" w:cs="宋体"/>
                <w:color w:val="000000"/>
                <w:kern w:val="0"/>
              </w:rPr>
              <w:t>要求</w:t>
            </w:r>
          </w:p>
        </w:tc>
        <w:tc>
          <w:tcPr>
            <w:tcW w:w="4533" w:type="pct"/>
            <w:gridSpan w:val="5"/>
            <w:shd w:val="clear" w:color="auto" w:fill="auto"/>
            <w:noWrap w:val="0"/>
            <w:vAlign w:val="center"/>
          </w:tcPr>
          <w:p>
            <w:pPr>
              <w:pStyle w:val="2"/>
              <w:rPr>
                <w:rFonts w:hint="eastAsia"/>
                <w:lang w:eastAsia="zh-CN"/>
              </w:rPr>
            </w:pPr>
            <w:r>
              <w:rPr>
                <w:rFonts w:hint="eastAsia"/>
              </w:rPr>
              <w:t>▲1.供应商投标产品</w:t>
            </w:r>
            <w:r>
              <w:rPr>
                <w:rFonts w:hint="eastAsia"/>
                <w:lang w:eastAsia="zh-CN"/>
              </w:rPr>
              <w:t>若为Ⅱ、Ⅲ类医疗器械</w:t>
            </w:r>
            <w:r>
              <w:rPr>
                <w:rFonts w:hint="eastAsia"/>
                <w:lang w:val="en-US" w:eastAsia="zh-CN"/>
              </w:rPr>
              <w:t>和具有医疗器械注册证或备案凭证的体外诊断试剂</w:t>
            </w:r>
            <w:r>
              <w:rPr>
                <w:rFonts w:hint="eastAsia"/>
                <w:lang w:eastAsia="zh-CN"/>
              </w:rPr>
              <w:t>，则</w:t>
            </w:r>
            <w:r>
              <w:rPr>
                <w:rFonts w:hint="eastAsia"/>
              </w:rPr>
              <w:t>必须为四川省药械集中采购及医药价格监管平台挂网公示产品,并提供挂网商品代码（已经挂网的需要提供集采平台挂网截图）</w:t>
            </w:r>
            <w:r>
              <w:rPr>
                <w:rFonts w:hint="eastAsia"/>
                <w:lang w:eastAsia="zh-CN"/>
              </w:rPr>
              <w:t>。</w:t>
            </w:r>
            <w:bookmarkStart w:id="135" w:name="_GoBack"/>
            <w:bookmarkEnd w:id="135"/>
          </w:p>
          <w:p>
            <w:pPr>
              <w:pStyle w:val="2"/>
              <w:rPr>
                <w:rFonts w:hint="eastAsia"/>
              </w:rPr>
            </w:pPr>
            <w:r>
              <w:rPr>
                <w:rFonts w:hint="eastAsia"/>
              </w:rPr>
              <w:t>▲</w:t>
            </w:r>
            <w:r>
              <w:rPr>
                <w:rFonts w:hint="eastAsia"/>
                <w:lang w:val="en-US" w:eastAsia="zh-CN"/>
              </w:rPr>
              <w:t>2</w:t>
            </w:r>
            <w:r>
              <w:rPr>
                <w:rFonts w:hint="eastAsia"/>
              </w:rPr>
              <w:t>.供货期限：3年，采购数量以实际使用量为准。</w:t>
            </w:r>
          </w:p>
          <w:p>
            <w:pPr>
              <w:pStyle w:val="2"/>
              <w:rPr>
                <w:rFonts w:hint="eastAsia"/>
              </w:rPr>
            </w:pPr>
            <w:r>
              <w:rPr>
                <w:rFonts w:hint="eastAsia"/>
              </w:rPr>
              <w:t>▲</w:t>
            </w:r>
            <w:r>
              <w:rPr>
                <w:rFonts w:hint="eastAsia"/>
                <w:lang w:val="en-US" w:eastAsia="zh-CN"/>
              </w:rPr>
              <w:t>3</w:t>
            </w:r>
            <w:r>
              <w:rPr>
                <w:rFonts w:hint="eastAsia"/>
              </w:rPr>
              <w:t>.合同结算：本项目的“预估</w:t>
            </w:r>
            <w:r>
              <w:rPr>
                <w:rFonts w:hint="eastAsia"/>
                <w:lang w:val="en-US" w:eastAsia="zh-CN"/>
              </w:rPr>
              <w:t>年度用</w:t>
            </w:r>
            <w:r>
              <w:rPr>
                <w:rFonts w:hint="eastAsia"/>
              </w:rPr>
              <w:t>量”、 供应商的“投标总价”仅做为报价评审依据，最终根据实际需求进行相应调整，结算以实际发生量乘以供应商</w:t>
            </w:r>
            <w:r>
              <w:rPr>
                <w:rFonts w:hint="eastAsia"/>
                <w:lang w:val="en-US" w:eastAsia="zh-CN"/>
              </w:rPr>
              <w:t>挂网单价（未挂网按</w:t>
            </w:r>
            <w:r>
              <w:rPr>
                <w:rFonts w:hint="eastAsia"/>
              </w:rPr>
              <w:t>投标单价</w:t>
            </w:r>
            <w:r>
              <w:rPr>
                <w:rFonts w:hint="eastAsia"/>
                <w:lang w:val="en-US" w:eastAsia="zh-CN"/>
              </w:rPr>
              <w:t>）</w:t>
            </w:r>
            <w:r>
              <w:rPr>
                <w:rFonts w:hint="eastAsia"/>
              </w:rPr>
              <w:t>结算，且</w:t>
            </w:r>
            <w:r>
              <w:rPr>
                <w:rFonts w:hint="eastAsia"/>
                <w:lang w:val="en-US" w:eastAsia="zh-CN"/>
              </w:rPr>
              <w:t>每年实际结算</w:t>
            </w:r>
            <w:r>
              <w:rPr>
                <w:rFonts w:hint="eastAsia"/>
              </w:rPr>
              <w:t>不超过</w:t>
            </w:r>
            <w:r>
              <w:rPr>
                <w:rFonts w:hint="eastAsia"/>
                <w:lang w:val="en-US" w:eastAsia="zh-CN"/>
              </w:rPr>
              <w:t>投标</w:t>
            </w:r>
            <w:r>
              <w:rPr>
                <w:rFonts w:hint="eastAsia"/>
              </w:rPr>
              <w:t>总</w:t>
            </w:r>
            <w:r>
              <w:rPr>
                <w:rFonts w:hint="eastAsia"/>
                <w:lang w:val="en-US" w:eastAsia="zh-CN"/>
              </w:rPr>
              <w:t>价</w:t>
            </w:r>
            <w:r>
              <w:rPr>
                <w:rFonts w:hint="eastAsia"/>
              </w:rPr>
              <w:t>。</w:t>
            </w:r>
          </w:p>
          <w:p>
            <w:pPr>
              <w:rPr>
                <w:rFonts w:hint="eastAsia"/>
              </w:rPr>
            </w:pPr>
            <w:r>
              <w:rPr>
                <w:rFonts w:hint="eastAsia" w:ascii="宋体" w:hAnsi="宋体" w:eastAsia="宋体" w:cs="仿宋"/>
                <w:bCs w:val="0"/>
                <w:sz w:val="24"/>
                <w:szCs w:val="24"/>
              </w:rPr>
              <w:t>▲</w:t>
            </w:r>
            <w:r>
              <w:rPr>
                <w:rFonts w:hint="default"/>
                <w:lang w:val="en-US" w:eastAsia="zh-CN"/>
              </w:rPr>
              <w:t>号的条款为本次招标项目的实质性要求，不允许有负偏离。</w:t>
            </w:r>
          </w:p>
        </w:tc>
      </w:tr>
    </w:tbl>
    <w:p>
      <w:pPr>
        <w:widowControl/>
        <w:spacing w:line="360" w:lineRule="auto"/>
        <w:jc w:val="left"/>
        <w:rPr>
          <w:rFonts w:ascii="宋体" w:hAnsi="宋体" w:eastAsia="宋体" w:cs="Segoe UI"/>
          <w:b/>
          <w:bCs/>
          <w:kern w:val="0"/>
          <w:sz w:val="28"/>
          <w:szCs w:val="28"/>
        </w:rPr>
      </w:pPr>
    </w:p>
    <w:p>
      <w:pPr>
        <w:rPr>
          <w:rFonts w:ascii="宋体" w:hAnsi="宋体" w:eastAsia="宋体" w:cs="Segoe UI"/>
          <w:b/>
          <w:bCs/>
          <w:kern w:val="0"/>
          <w:sz w:val="28"/>
          <w:szCs w:val="28"/>
        </w:rPr>
      </w:pPr>
      <w:r>
        <w:rPr>
          <w:rFonts w:hint="eastAsia" w:ascii="宋体" w:hAnsi="宋体" w:eastAsia="宋体" w:cs="Segoe UI"/>
          <w:b/>
          <w:bCs/>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附件3：采购报价文件书装订顺序</w:t>
      </w:r>
    </w:p>
    <w:p>
      <w:pPr>
        <w:widowControl/>
        <w:shd w:val="clear" w:color="auto" w:fill="FFFFFF"/>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fill="FFFFFF"/>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fill="FFFFFF"/>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1、封面（公司、项目、联系人、联系方式）</w:t>
      </w:r>
    </w:p>
    <w:p>
      <w:pPr>
        <w:widowControl/>
        <w:shd w:val="clear" w:color="auto" w:fill="FFFFFF"/>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2、目录</w:t>
      </w:r>
    </w:p>
    <w:p>
      <w:pPr>
        <w:widowControl/>
        <w:shd w:val="clear" w:color="auto" w:fill="FFFFFF"/>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3、品目及报价表（格式见附件4）</w:t>
      </w:r>
    </w:p>
    <w:p>
      <w:pPr>
        <w:widowControl/>
        <w:shd w:val="clear" w:color="auto" w:fill="FFFFFF"/>
        <w:wordWrap w:val="0"/>
        <w:ind w:firstLine="512"/>
        <w:jc w:val="left"/>
        <w:rPr>
          <w:rFonts w:ascii="仿宋_GB2312" w:hAnsi="Segoe UI" w:eastAsia="仿宋_GB2312" w:cs="Segoe UI"/>
          <w:color w:val="000000" w:themeColor="text1"/>
          <w:spacing w:val="8"/>
          <w:kern w:val="0"/>
          <w:sz w:val="24"/>
          <w:szCs w:val="24"/>
        </w:rPr>
      </w:pPr>
      <w:r>
        <w:rPr>
          <w:rFonts w:hint="eastAsia" w:ascii="仿宋_GB2312" w:hAnsi="Segoe UI" w:eastAsia="仿宋_GB2312" w:cs="Segoe UI"/>
          <w:color w:val="000000" w:themeColor="text1"/>
          <w:spacing w:val="8"/>
          <w:kern w:val="0"/>
          <w:sz w:val="24"/>
          <w:szCs w:val="24"/>
        </w:rPr>
        <w:t>4、规格型号、配置及偏离表（格式见附件4）</w:t>
      </w:r>
    </w:p>
    <w:p>
      <w:pPr>
        <w:widowControl/>
        <w:shd w:val="clear" w:color="auto" w:fill="FFFFFF"/>
        <w:wordWrap w:val="0"/>
        <w:ind w:firstLine="512"/>
        <w:jc w:val="left"/>
        <w:rPr>
          <w:rFonts w:hint="eastAsia" w:ascii="仿宋_GB2312" w:hAnsi="Segoe UI" w:eastAsia="仿宋_GB2312" w:cs="Segoe UI"/>
          <w:spacing w:val="8"/>
          <w:kern w:val="0"/>
          <w:sz w:val="24"/>
          <w:szCs w:val="24"/>
        </w:rPr>
      </w:pPr>
      <w:r>
        <w:rPr>
          <w:rFonts w:hint="eastAsia" w:ascii="仿宋_GB2312" w:hAnsi="Segoe UI" w:eastAsia="仿宋_GB2312" w:cs="Segoe UI"/>
          <w:spacing w:val="8"/>
          <w:kern w:val="0"/>
          <w:sz w:val="24"/>
          <w:szCs w:val="24"/>
        </w:rPr>
        <w:t>5、承诺函（格式见附件4）</w:t>
      </w:r>
    </w:p>
    <w:p>
      <w:pPr>
        <w:widowControl/>
        <w:shd w:val="clear" w:color="auto" w:fill="FFFFFF"/>
        <w:wordWrap w:val="0"/>
        <w:ind w:firstLine="512"/>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6、企业营业执照（复印件）</w:t>
      </w:r>
    </w:p>
    <w:p>
      <w:pPr>
        <w:widowControl/>
        <w:shd w:val="clear" w:color="auto" w:fill="FFFFFF"/>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p>
    <w:p>
      <w:pPr>
        <w:widowControl/>
        <w:shd w:val="clear" w:color="auto" w:fill="FFFFFF"/>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p>
    <w:p>
      <w:pPr>
        <w:widowControl/>
        <w:shd w:val="clear" w:color="auto" w:fill="FFFFFF"/>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9、生产厂家授权书（投标人不是生产厂家的）</w:t>
      </w:r>
    </w:p>
    <w:p>
      <w:pPr>
        <w:widowControl/>
        <w:shd w:val="clear" w:color="auto" w:fill="FFFFFF"/>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p>
    <w:p>
      <w:pPr>
        <w:widowControl/>
        <w:shd w:val="clear" w:color="auto" w:fill="FFFFFF"/>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11、如是医疗器械，须提供“医疗器械产品注册证和注册登记表”（复印件）</w:t>
      </w:r>
    </w:p>
    <w:p>
      <w:pPr>
        <w:widowControl/>
        <w:shd w:val="clear" w:color="auto" w:fill="FFFFFF"/>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p>
    <w:p>
      <w:pPr>
        <w:widowControl/>
        <w:shd w:val="clear" w:color="auto" w:fill="FFFFFF"/>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p>
    <w:p>
      <w:pPr>
        <w:widowControl/>
        <w:shd w:val="clear" w:color="auto" w:fill="FFFFFF"/>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p>
    <w:p>
      <w:pPr>
        <w:widowControl/>
        <w:shd w:val="clear" w:color="auto" w:fill="FFFFFF"/>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p>
    <w:p>
      <w:pPr>
        <w:widowControl/>
        <w:shd w:val="clear" w:color="auto" w:fill="FFFFFF"/>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16、产品质量及货源保证书</w:t>
      </w:r>
    </w:p>
    <w:p>
      <w:pPr>
        <w:widowControl/>
        <w:shd w:val="clear" w:color="auto" w:fill="FFFFFF"/>
        <w:wordWrap w:val="0"/>
        <w:ind w:firstLine="51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p>
    <w:p>
      <w:pPr>
        <w:widowControl/>
        <w:shd w:val="clear" w:color="auto" w:fill="FFFFFF"/>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18、如有，提供进口原材料证明书或产品报关资料等</w:t>
      </w:r>
    </w:p>
    <w:p>
      <w:pPr>
        <w:widowControl/>
        <w:shd w:val="clear" w:color="auto" w:fill="FFFFFF"/>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p>
    <w:p>
      <w:pPr>
        <w:widowControl/>
        <w:shd w:val="clear" w:color="auto" w:fill="FFFFFF"/>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p>
    <w:p>
      <w:pPr>
        <w:widowControl/>
        <w:shd w:val="clear" w:color="auto" w:fill="FFFFFF"/>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21、如有，国家规定的其它相关资质证明文件或其它涉及特许经营许可的须提供相关证书。如：卫生许可证、药品经营许可证、生产批件或新药证书等；</w:t>
      </w:r>
    </w:p>
    <w:p>
      <w:pPr>
        <w:widowControl/>
        <w:shd w:val="clear" w:color="auto" w:fill="FFFFFF"/>
        <w:wordWrap w:val="0"/>
        <w:ind w:firstLine="480"/>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22、社保缴纳证明；</w:t>
      </w:r>
    </w:p>
    <w:p>
      <w:pPr>
        <w:widowControl/>
        <w:shd w:val="clear" w:color="auto" w:fill="FFFFFF"/>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23、</w:t>
      </w:r>
      <w:r>
        <w:rPr>
          <w:rFonts w:hint="eastAsia" w:ascii="仿宋_GB2312" w:hAnsi="Segoe UI" w:eastAsia="仿宋_GB2312" w:cs="Segoe UI"/>
          <w:color w:val="000000" w:themeColor="text1"/>
          <w:spacing w:val="8"/>
          <w:kern w:val="0"/>
          <w:sz w:val="24"/>
          <w:szCs w:val="24"/>
        </w:rPr>
        <w:t>封底。</w:t>
      </w:r>
    </w:p>
    <w:p>
      <w:pPr>
        <w:widowControl/>
        <w:shd w:val="clear" w:color="auto" w:fill="FFFFFF"/>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fill="FFFFFF"/>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fill="FFFFFF"/>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fill="FFFFFF"/>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fill="FFFFFF"/>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bl>
    <w:p>
      <w:pPr>
        <w:widowControl/>
        <w:shd w:val="clear" w:color="auto" w:fill="FFFFFF"/>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fill="FFFFFF"/>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fill="FFFFFF"/>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fill="FFFFFF"/>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fill="FFFFFF"/>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fill="FFFFFF"/>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fill="FFFFFF"/>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fill="FFFFFF"/>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bl>
    <w:p>
      <w:pPr>
        <w:widowControl/>
        <w:shd w:val="clear" w:color="auto" w:fill="FFFFFF"/>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fill="FFFFFF"/>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fill="FFFFFF"/>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fill="FFFFFF"/>
        <w:wordWrap w:val="0"/>
        <w:spacing w:line="270" w:lineRule="atLeast"/>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fill="FFFFFF"/>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9234"/>
      <w:bookmarkStart w:id="3" w:name="_Toc15614"/>
      <w:bookmarkStart w:id="4" w:name="_Toc21163"/>
      <w:bookmarkStart w:id="5" w:name="_Toc3414"/>
      <w:bookmarkStart w:id="6" w:name="_Toc21676"/>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5208"/>
      <w:bookmarkStart w:id="8" w:name="_Toc5499"/>
      <w:bookmarkStart w:id="9" w:name="_Toc11076"/>
      <w:bookmarkStart w:id="10" w:name="_Toc12490"/>
      <w:bookmarkStart w:id="11" w:name="_Toc60"/>
      <w:bookmarkStart w:id="12" w:name="_Toc30275"/>
      <w:bookmarkStart w:id="13" w:name="_Toc10689"/>
      <w:bookmarkStart w:id="14" w:name="_Toc14802"/>
      <w:bookmarkStart w:id="15" w:name="_Toc30494"/>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10948"/>
      <w:bookmarkStart w:id="17" w:name="_Toc32214"/>
      <w:bookmarkStart w:id="18" w:name="_Toc9131"/>
      <w:bookmarkStart w:id="19" w:name="_Toc26481"/>
      <w:bookmarkStart w:id="20" w:name="_Toc30724"/>
      <w:bookmarkStart w:id="21" w:name="_Toc10183"/>
      <w:bookmarkStart w:id="22" w:name="_Toc7067"/>
      <w:bookmarkStart w:id="23" w:name="_Toc28103"/>
      <w:bookmarkStart w:id="24" w:name="_Toc3081"/>
      <w:bookmarkStart w:id="25" w:name="_Toc13021"/>
      <w:bookmarkStart w:id="26" w:name="_Toc3912"/>
      <w:bookmarkStart w:id="27" w:name="_Toc19115"/>
      <w:bookmarkStart w:id="28" w:name="_Toc8717"/>
      <w:bookmarkStart w:id="29" w:name="_Toc18879"/>
      <w:bookmarkStart w:id="30" w:name="_Toc3447"/>
      <w:bookmarkStart w:id="31" w:name="_Toc18513"/>
      <w:bookmarkStart w:id="32" w:name="_Toc3392"/>
      <w:bookmarkStart w:id="33" w:name="_Toc30080"/>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30920"/>
      <w:bookmarkStart w:id="35" w:name="_Toc22795"/>
      <w:bookmarkStart w:id="36" w:name="_Toc10142"/>
      <w:bookmarkStart w:id="37" w:name="_Toc30649"/>
      <w:bookmarkStart w:id="38" w:name="_Toc7249"/>
      <w:bookmarkStart w:id="39" w:name="_Toc23645"/>
      <w:bookmarkStart w:id="40" w:name="_Toc15196"/>
      <w:bookmarkStart w:id="41" w:name="_Toc9042"/>
      <w:bookmarkStart w:id="42" w:name="_Toc18259"/>
      <w:bookmarkStart w:id="43" w:name="_Toc23557"/>
      <w:bookmarkStart w:id="44" w:name="_Toc14004"/>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30083"/>
      <w:bookmarkStart w:id="46" w:name="_Toc26548"/>
      <w:bookmarkStart w:id="47" w:name="_Toc3534"/>
      <w:bookmarkStart w:id="48" w:name="_Toc21988"/>
      <w:bookmarkStart w:id="49" w:name="_Toc24117"/>
      <w:bookmarkStart w:id="50" w:name="_Toc19600"/>
      <w:bookmarkStart w:id="51" w:name="_Toc3004"/>
      <w:bookmarkStart w:id="52" w:name="_Toc4775"/>
      <w:bookmarkStart w:id="53" w:name="_Toc25516"/>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14887"/>
      <w:bookmarkStart w:id="55" w:name="_Toc3494"/>
      <w:bookmarkStart w:id="56" w:name="_Toc32166"/>
      <w:bookmarkStart w:id="57" w:name="_Toc22198"/>
      <w:bookmarkStart w:id="58" w:name="_Toc16666"/>
      <w:bookmarkStart w:id="59" w:name="_Toc12333"/>
      <w:bookmarkStart w:id="60" w:name="_Toc21982"/>
      <w:bookmarkStart w:id="61" w:name="_Toc16764"/>
      <w:bookmarkStart w:id="62" w:name="_Toc23192"/>
      <w:bookmarkStart w:id="63" w:name="_Toc27376"/>
      <w:bookmarkStart w:id="64" w:name="_Toc691"/>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14269"/>
      <w:bookmarkStart w:id="66" w:name="_Toc22606"/>
      <w:bookmarkStart w:id="67" w:name="_Toc3943"/>
      <w:bookmarkStart w:id="68" w:name="_Toc4577"/>
      <w:bookmarkStart w:id="69" w:name="_Toc1371"/>
      <w:bookmarkStart w:id="70" w:name="_Toc5412"/>
      <w:bookmarkStart w:id="71" w:name="_Toc31581"/>
      <w:bookmarkStart w:id="72" w:name="_Toc10013"/>
      <w:bookmarkStart w:id="73" w:name="_Toc25068"/>
      <w:bookmarkStart w:id="74" w:name="_Toc11914"/>
      <w:bookmarkStart w:id="75" w:name="_Toc9263"/>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29190"/>
      <w:bookmarkStart w:id="77" w:name="_Toc13677"/>
      <w:bookmarkStart w:id="78" w:name="_Toc3908"/>
      <w:bookmarkStart w:id="79" w:name="_Toc31890"/>
      <w:bookmarkStart w:id="80" w:name="_Toc13267"/>
      <w:bookmarkStart w:id="81" w:name="_Toc2937"/>
      <w:bookmarkStart w:id="82" w:name="_Toc2316"/>
      <w:bookmarkStart w:id="83" w:name="_Toc10600"/>
      <w:bookmarkStart w:id="84" w:name="_Toc18935"/>
      <w:bookmarkStart w:id="85" w:name="_Toc17108"/>
      <w:bookmarkStart w:id="86" w:name="_Toc11489"/>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31638"/>
      <w:bookmarkStart w:id="88" w:name="_Toc12088"/>
      <w:bookmarkStart w:id="89" w:name="_Toc1313"/>
      <w:bookmarkStart w:id="90" w:name="_Toc15916"/>
      <w:bookmarkStart w:id="91" w:name="_Toc14252"/>
      <w:bookmarkStart w:id="92" w:name="_Toc26756"/>
      <w:bookmarkStart w:id="93" w:name="_Toc21351"/>
      <w:bookmarkStart w:id="94" w:name="_Toc24122"/>
      <w:bookmarkStart w:id="95" w:name="_Toc32365"/>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9398"/>
      <w:bookmarkStart w:id="98" w:name="_Toc26609"/>
      <w:bookmarkStart w:id="99" w:name="_Toc11278"/>
      <w:bookmarkStart w:id="100" w:name="_Toc27948"/>
      <w:bookmarkStart w:id="101" w:name="_Toc18046"/>
      <w:bookmarkStart w:id="102" w:name="_Toc10583"/>
      <w:bookmarkStart w:id="103" w:name="_Toc15083"/>
      <w:bookmarkStart w:id="104" w:name="_Toc15894"/>
      <w:bookmarkStart w:id="105" w:name="_Toc23212"/>
      <w:bookmarkStart w:id="106" w:name="_Toc19589"/>
      <w:bookmarkStart w:id="107" w:name="_Toc22760"/>
      <w:bookmarkStart w:id="108" w:name="_Toc29215"/>
      <w:bookmarkStart w:id="109" w:name="_Toc27985"/>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24671"/>
      <w:bookmarkStart w:id="111" w:name="_Toc29648"/>
      <w:bookmarkStart w:id="112" w:name="_Toc14546"/>
      <w:bookmarkStart w:id="113" w:name="_Toc4116"/>
      <w:bookmarkStart w:id="114" w:name="_Toc8348"/>
      <w:bookmarkStart w:id="115" w:name="_Toc757"/>
      <w:bookmarkStart w:id="116" w:name="_Toc8940"/>
      <w:bookmarkStart w:id="117" w:name="_Toc24655"/>
      <w:bookmarkStart w:id="118" w:name="_Toc17204"/>
      <w:bookmarkStart w:id="119" w:name="_Toc17741"/>
      <w:bookmarkStart w:id="120" w:name="_Toc24107"/>
      <w:bookmarkStart w:id="121" w:name="_Toc8083"/>
      <w:bookmarkStart w:id="122" w:name="_Toc27767"/>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8524"/>
      <w:bookmarkStart w:id="124" w:name="_Toc5840"/>
      <w:bookmarkStart w:id="125" w:name="_Toc10950"/>
      <w:bookmarkStart w:id="126" w:name="_Toc22243"/>
      <w:bookmarkStart w:id="127" w:name="_Toc14781"/>
      <w:bookmarkStart w:id="128" w:name="_Toc10308"/>
      <w:bookmarkStart w:id="129" w:name="_Toc20745"/>
      <w:bookmarkStart w:id="130" w:name="_Toc12682"/>
      <w:bookmarkStart w:id="131" w:name="_Toc2003"/>
      <w:bookmarkStart w:id="132" w:name="_Toc24280"/>
      <w:bookmarkStart w:id="133" w:name="_Toc10945"/>
      <w:bookmarkStart w:id="134" w:name="_Toc15917"/>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fill="FFFFFF"/>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fill="FFFFFF"/>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fill="FFFFFF"/>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fill="FFFFFF"/>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fill="FFFFFF"/>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fill="FFFFFF"/>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fill="FFFFFF"/>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fill="FFFFFF"/>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fill="FFFFFF"/>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fill="FFFFFF"/>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3506" w:type="dxa"/>
        <w:jc w:val="center"/>
        <w:shd w:val="clear" w:color="auto" w:fill="FFFFFF"/>
        <w:tblLayout w:type="autofit"/>
        <w:tblCellMar>
          <w:top w:w="0" w:type="dxa"/>
          <w:left w:w="0" w:type="dxa"/>
          <w:bottom w:w="0" w:type="dxa"/>
          <w:right w:w="0" w:type="dxa"/>
        </w:tblCellMar>
      </w:tblPr>
      <w:tblGrid>
        <w:gridCol w:w="580"/>
        <w:gridCol w:w="1417"/>
        <w:gridCol w:w="2030"/>
        <w:gridCol w:w="1418"/>
        <w:gridCol w:w="709"/>
        <w:gridCol w:w="992"/>
        <w:gridCol w:w="992"/>
        <w:gridCol w:w="1281"/>
        <w:gridCol w:w="971"/>
        <w:gridCol w:w="2130"/>
        <w:gridCol w:w="986"/>
      </w:tblGrid>
      <w:tr>
        <w:tblPrEx>
          <w:tblCellMar>
            <w:top w:w="0" w:type="dxa"/>
            <w:left w:w="0" w:type="dxa"/>
            <w:bottom w:w="0" w:type="dxa"/>
            <w:right w:w="0" w:type="dxa"/>
          </w:tblCellMar>
        </w:tblPrEx>
        <w:trPr>
          <w:trHeight w:val="735" w:hRule="atLeast"/>
          <w:jc w:val="center"/>
        </w:trPr>
        <w:tc>
          <w:tcPr>
            <w:tcW w:w="580" w:type="dxa"/>
            <w:tcBorders>
              <w:top w:val="single" w:color="auto" w:sz="8" w:space="0"/>
              <w:left w:val="single" w:color="auto" w:sz="8" w:space="0"/>
              <w:bottom w:val="single" w:color="auto" w:sz="8" w:space="0"/>
              <w:right w:val="single" w:color="auto" w:sz="4" w:space="0"/>
            </w:tcBorders>
            <w:shd w:val="clear" w:color="auto" w:fill="FFFFFF"/>
            <w:tcMar>
              <w:top w:w="0" w:type="dxa"/>
              <w:left w:w="108" w:type="dxa"/>
              <w:bottom w:w="0" w:type="dxa"/>
              <w:right w:w="108" w:type="dxa"/>
            </w:tcMar>
            <w:vAlign w:val="center"/>
          </w:tcPr>
          <w:p>
            <w:pPr>
              <w:widowControl/>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417"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2030" w:type="dxa"/>
            <w:tcBorders>
              <w:top w:val="single" w:color="auto" w:sz="8" w:space="0"/>
              <w:left w:val="single" w:color="auto" w:sz="4" w:space="0"/>
              <w:bottom w:val="single" w:color="auto" w:sz="8" w:space="0"/>
              <w:right w:val="single" w:color="auto" w:sz="4"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418"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709"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品牌</w:t>
            </w:r>
          </w:p>
        </w:tc>
        <w:tc>
          <w:tcPr>
            <w:tcW w:w="992" w:type="dxa"/>
            <w:tcBorders>
              <w:top w:val="single" w:color="auto" w:sz="8" w:space="0"/>
              <w:left w:val="single" w:color="auto" w:sz="4"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92"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81"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71"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130"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986" w:type="dxa"/>
            <w:tcBorders>
              <w:top w:val="single" w:color="auto" w:sz="8" w:space="0"/>
              <w:left w:val="nil"/>
              <w:bottom w:val="single" w:color="auto" w:sz="8" w:space="0"/>
              <w:right w:val="single" w:color="auto" w:sz="8" w:space="0"/>
            </w:tcBorders>
            <w:shd w:val="clear" w:color="auto" w:fill="FFFFFF"/>
            <w:vAlign w:val="center"/>
          </w:tcPr>
          <w:p>
            <w:pPr>
              <w:widowControl/>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备注</w:t>
            </w:r>
          </w:p>
          <w:p>
            <w:pPr>
              <w:widowControl/>
              <w:wordWrap w:val="0"/>
              <w:jc w:val="center"/>
              <w:rPr>
                <w:rFonts w:ascii="仿宋_GB2312" w:hAnsi="Segoe UI" w:eastAsia="仿宋_GB2312" w:cs="Segoe UI"/>
                <w:b/>
                <w:color w:val="000000" w:themeColor="text1"/>
                <w:kern w:val="0"/>
                <w:sz w:val="24"/>
                <w:szCs w:val="24"/>
              </w:rPr>
            </w:pPr>
          </w:p>
        </w:tc>
      </w:tr>
      <w:tr>
        <w:tblPrEx>
          <w:tblCellMar>
            <w:top w:w="0" w:type="dxa"/>
            <w:left w:w="0" w:type="dxa"/>
            <w:bottom w:w="0" w:type="dxa"/>
            <w:right w:w="0" w:type="dxa"/>
          </w:tblCellMar>
        </w:tblPrEx>
        <w:trPr>
          <w:trHeight w:val="330" w:hRule="atLeast"/>
          <w:jc w:val="center"/>
        </w:trPr>
        <w:tc>
          <w:tcPr>
            <w:tcW w:w="580" w:type="dxa"/>
            <w:tcBorders>
              <w:top w:val="nil"/>
              <w:left w:val="single" w:color="auto" w:sz="8" w:space="0"/>
              <w:bottom w:val="single" w:color="auto" w:sz="8" w:space="0"/>
              <w:right w:val="single" w:color="auto" w:sz="4" w:space="0"/>
            </w:tcBorders>
            <w:shd w:val="clear" w:color="auto" w:fill="FFFFFF"/>
            <w:tcMar>
              <w:top w:w="0" w:type="dxa"/>
              <w:left w:w="108" w:type="dxa"/>
              <w:bottom w:w="0" w:type="dxa"/>
              <w:right w:w="108" w:type="dxa"/>
            </w:tcMa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417"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30" w:type="dxa"/>
            <w:tcBorders>
              <w:top w:val="nil"/>
              <w:left w:val="single" w:color="auto" w:sz="4" w:space="0"/>
              <w:bottom w:val="single" w:color="auto" w:sz="8" w:space="0"/>
              <w:right w:val="single" w:color="auto" w:sz="4"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418"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tcPr>
          <w:p>
            <w:pPr>
              <w:widowControl/>
              <w:wordWrap w:val="0"/>
              <w:jc w:val="center"/>
              <w:rPr>
                <w:rFonts w:ascii="宋体" w:hAnsi="宋体" w:eastAsia="宋体" w:cs="Segoe UI"/>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92" w:type="dxa"/>
            <w:tcBorders>
              <w:top w:val="nil"/>
              <w:left w:val="single" w:color="auto" w:sz="4"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9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81"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1"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13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986" w:type="dxa"/>
            <w:tcBorders>
              <w:top w:val="nil"/>
              <w:left w:val="nil"/>
              <w:bottom w:val="single" w:color="auto" w:sz="8" w:space="0"/>
              <w:right w:val="single" w:color="auto" w:sz="8" w:space="0"/>
            </w:tcBorders>
            <w:shd w:val="clear" w:color="auto" w:fill="FFFFFF"/>
          </w:tcPr>
          <w:p>
            <w:pPr>
              <w:widowControl/>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90" w:hRule="atLeast"/>
          <w:jc w:val="center"/>
        </w:trPr>
        <w:tc>
          <w:tcPr>
            <w:tcW w:w="580" w:type="dxa"/>
            <w:tcBorders>
              <w:top w:val="nil"/>
              <w:left w:val="single" w:color="auto" w:sz="8" w:space="0"/>
              <w:bottom w:val="single" w:color="auto" w:sz="4" w:space="0"/>
              <w:right w:val="single" w:color="auto" w:sz="4" w:space="0"/>
            </w:tcBorders>
            <w:shd w:val="clear" w:color="auto" w:fill="FFFFFF"/>
            <w:tcMar>
              <w:top w:w="0" w:type="dxa"/>
              <w:left w:w="108" w:type="dxa"/>
              <w:bottom w:w="0" w:type="dxa"/>
              <w:right w:w="108" w:type="dxa"/>
            </w:tcMa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417"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30" w:type="dxa"/>
            <w:tcBorders>
              <w:top w:val="nil"/>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418"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tcPr>
          <w:p>
            <w:pPr>
              <w:widowControl/>
              <w:wordWrap w:val="0"/>
              <w:jc w:val="center"/>
              <w:rPr>
                <w:rFonts w:ascii="宋体" w:hAnsi="宋体" w:eastAsia="宋体" w:cs="Segoe UI"/>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92" w:type="dxa"/>
            <w:tcBorders>
              <w:top w:val="nil"/>
              <w:left w:val="single" w:color="auto" w:sz="4" w:space="0"/>
              <w:bottom w:val="single" w:color="auto" w:sz="4" w:space="0"/>
              <w:right w:val="single" w:color="auto" w:sz="8"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92" w:type="dxa"/>
            <w:tcBorders>
              <w:top w:val="nil"/>
              <w:left w:val="nil"/>
              <w:bottom w:val="single" w:color="auto" w:sz="4" w:space="0"/>
              <w:right w:val="single" w:color="auto" w:sz="8"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81" w:type="dxa"/>
            <w:tcBorders>
              <w:top w:val="nil"/>
              <w:left w:val="nil"/>
              <w:bottom w:val="single" w:color="auto" w:sz="4" w:space="0"/>
              <w:right w:val="single" w:color="auto" w:sz="8"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1" w:type="dxa"/>
            <w:tcBorders>
              <w:top w:val="nil"/>
              <w:left w:val="nil"/>
              <w:bottom w:val="single" w:color="auto" w:sz="4" w:space="0"/>
              <w:right w:val="single" w:color="auto" w:sz="8"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130" w:type="dxa"/>
            <w:tcBorders>
              <w:top w:val="nil"/>
              <w:left w:val="nil"/>
              <w:bottom w:val="single" w:color="auto" w:sz="4" w:space="0"/>
              <w:right w:val="single" w:color="auto" w:sz="8" w:space="0"/>
            </w:tcBorders>
            <w:shd w:val="clear" w:color="auto" w:fill="FFFFFF"/>
            <w:tcMar>
              <w:top w:w="0" w:type="dxa"/>
              <w:left w:w="108" w:type="dxa"/>
              <w:bottom w:w="0" w:type="dxa"/>
              <w:right w:w="108" w:type="dxa"/>
            </w:tcMar>
            <w:vAlign w:val="center"/>
          </w:tcPr>
          <w:p>
            <w:pPr>
              <w:widowControl/>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986" w:type="dxa"/>
            <w:tcBorders>
              <w:top w:val="nil"/>
              <w:left w:val="nil"/>
              <w:bottom w:val="single" w:color="auto" w:sz="4" w:space="0"/>
              <w:right w:val="single" w:color="auto" w:sz="8" w:space="0"/>
            </w:tcBorders>
            <w:shd w:val="clear" w:color="auto" w:fill="FFFFFF"/>
          </w:tcPr>
          <w:p>
            <w:pPr>
              <w:widowControl/>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580"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417"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30"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418"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tcPr>
          <w:p>
            <w:pPr>
              <w:widowControl/>
              <w:wordWrap w:val="0"/>
              <w:jc w:val="center"/>
              <w:rPr>
                <w:rFonts w:ascii="宋体" w:hAnsi="宋体" w:eastAsia="宋体" w:cs="Segoe UI"/>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92"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92"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81"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1"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130"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986" w:type="dxa"/>
            <w:tcBorders>
              <w:top w:val="single" w:color="auto" w:sz="4" w:space="0"/>
              <w:left w:val="single" w:color="auto" w:sz="4" w:space="0"/>
              <w:bottom w:val="single" w:color="auto" w:sz="4" w:space="0"/>
              <w:right w:val="single" w:color="auto" w:sz="4" w:space="0"/>
            </w:tcBorders>
            <w:shd w:val="clear" w:color="auto" w:fill="FFFFFF"/>
          </w:tcPr>
          <w:p>
            <w:pPr>
              <w:widowControl/>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13506" w:type="dxa"/>
            <w:gridSpan w:val="11"/>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tcPr>
          <w:p>
            <w:pPr>
              <w:widowControl/>
              <w:tabs>
                <w:tab w:val="left" w:pos="5511"/>
              </w:tabs>
              <w:wordWrap w:val="0"/>
              <w:jc w:val="left"/>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fill="FFFFFF"/>
        <w:wordWrap w:val="0"/>
        <w:jc w:val="left"/>
        <w:rPr>
          <w:rFonts w:ascii="仿宋_GB2312" w:hAnsi="Segoe UI" w:eastAsia="仿宋_GB2312" w:cs="Segoe UI"/>
          <w:color w:val="000000" w:themeColor="text1"/>
          <w:kern w:val="0"/>
          <w:sz w:val="24"/>
          <w:szCs w:val="24"/>
        </w:rPr>
      </w:pPr>
    </w:p>
    <w:p>
      <w:pPr>
        <w:widowControl/>
        <w:shd w:val="clear" w:color="auto" w:fill="FFFFFF"/>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fill="FFFFFF"/>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fill="FFFFFF"/>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fill="FFFFFF"/>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fill="FFFFFF"/>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fill="FFFFFF"/>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fill="FFFFFF"/>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fill="FFFFFF"/>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fill="FFFFFF"/>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fill="FFFFFF"/>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fill="FFFFFF"/>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fill="FFFFFF"/>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fill="FFFFFF"/>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fill="FFFFFF"/>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fill="FFFFFF"/>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fill="FFFFFF"/>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授权代表签字：</w:t>
      </w:r>
    </w:p>
    <w:p>
      <w:pPr>
        <w:widowControl/>
        <w:shd w:val="clear" w:color="auto" w:fill="FFFFFF"/>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fill="FFFFFF"/>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fill="FFFFFF"/>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fill="FFFFFF"/>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fill="FFFFFF"/>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fill="FFFFFF"/>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fill="FFFFFF"/>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fill="FFFFFF"/>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fill="FFFFFF"/>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fill="FFFFFF"/>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fill="FFFFFF"/>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fill="FFFFFF"/>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fill="FFFFFF"/>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胃幽门螺杆菌检测试剂盒）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Segoe UI" w:eastAsia="仿宋_GB2312" w:cs="Segoe UI"/>
          <w:color w:val="000000" w:themeColor="text1"/>
          <w:kern w:val="0"/>
          <w:sz w:val="24"/>
          <w:szCs w:val="24"/>
        </w:rPr>
      </w:pPr>
      <w:r>
        <w:rPr>
          <w:rFonts w:hint="eastAsia" w:ascii="仿宋_GB2312" w:hAnsi="仿宋_GB2312" w:eastAsia="仿宋_GB2312" w:cs="仿宋_GB2312"/>
          <w:sz w:val="28"/>
          <w:szCs w:val="28"/>
        </w:rPr>
        <w:t>日期：   年    月    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46E5"/>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D7F0F"/>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0E95"/>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82624"/>
    <w:rsid w:val="00587330"/>
    <w:rsid w:val="005968B6"/>
    <w:rsid w:val="00597D06"/>
    <w:rsid w:val="005A3020"/>
    <w:rsid w:val="005A42FF"/>
    <w:rsid w:val="005A498C"/>
    <w:rsid w:val="005A6381"/>
    <w:rsid w:val="005A681B"/>
    <w:rsid w:val="005B63AB"/>
    <w:rsid w:val="005B7018"/>
    <w:rsid w:val="005C2921"/>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32915"/>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E30BD"/>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0E1F"/>
    <w:rsid w:val="00DB3F6C"/>
    <w:rsid w:val="00DC3AB1"/>
    <w:rsid w:val="00DC4C36"/>
    <w:rsid w:val="00DE14EC"/>
    <w:rsid w:val="00DE31ED"/>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E911C5D"/>
    <w:rsid w:val="195D2073"/>
    <w:rsid w:val="26A27192"/>
    <w:rsid w:val="2DB74145"/>
    <w:rsid w:val="34C1527C"/>
    <w:rsid w:val="34E74E35"/>
    <w:rsid w:val="355B0178"/>
    <w:rsid w:val="364F4E7F"/>
    <w:rsid w:val="365344A5"/>
    <w:rsid w:val="411D3A60"/>
    <w:rsid w:val="439F78E1"/>
    <w:rsid w:val="51CB3FD0"/>
    <w:rsid w:val="5536063D"/>
    <w:rsid w:val="62FA0171"/>
    <w:rsid w:val="65C660EF"/>
    <w:rsid w:val="6CB44140"/>
    <w:rsid w:val="701306BF"/>
    <w:rsid w:val="75233D75"/>
    <w:rsid w:val="78BA1DAC"/>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6"/>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link w:val="25"/>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 w:type="character" w:customStyle="1" w:styleId="24">
    <w:name w:val="NormalCharacter"/>
    <w:qFormat/>
    <w:uiPriority w:val="0"/>
  </w:style>
  <w:style w:type="character" w:customStyle="1" w:styleId="25">
    <w:name w:val="正文文本缩进 2 Char"/>
    <w:basedOn w:val="14"/>
    <w:link w:val="6"/>
    <w:semiHidden/>
    <w:qFormat/>
    <w:uiPriority w:val="99"/>
    <w:rPr>
      <w:rFonts w:asciiTheme="minorHAnsi" w:hAnsiTheme="minorHAnsi" w:eastAsiaTheme="minorEastAsia" w:cstheme="minorBidi"/>
      <w:kern w:val="2"/>
      <w:sz w:val="21"/>
      <w:szCs w:val="22"/>
    </w:rPr>
  </w:style>
  <w:style w:type="character" w:customStyle="1" w:styleId="26">
    <w:name w:val="正文文本 Char"/>
    <w:basedOn w:val="14"/>
    <w:link w:val="2"/>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EA8A53-B26B-4B29-A513-F392F504E0E9}">
  <ds:schemaRefs/>
</ds:datastoreItem>
</file>

<file path=docProps/app.xml><?xml version="1.0" encoding="utf-8"?>
<Properties xmlns="http://schemas.openxmlformats.org/officeDocument/2006/extended-properties" xmlns:vt="http://schemas.openxmlformats.org/officeDocument/2006/docPropsVTypes">
  <Template>Normal</Template>
  <Pages>11</Pages>
  <Words>908</Words>
  <Characters>5182</Characters>
  <Lines>43</Lines>
  <Paragraphs>12</Paragraphs>
  <TotalTime>1</TotalTime>
  <ScaleCrop>false</ScaleCrop>
  <LinksUpToDate>false</LinksUpToDate>
  <CharactersWithSpaces>6078</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小月妹</cp:lastModifiedBy>
  <dcterms:modified xsi:type="dcterms:W3CDTF">2023-11-16T09:31:27Z</dcterms:modified>
  <cp:revision>263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